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7EAE" w:rsidRPr="00277EAE" w:rsidRDefault="00F57796" w:rsidP="00277EAE">
      <w:pPr>
        <w:spacing w:after="0" w:line="240" w:lineRule="auto"/>
        <w:ind w:firstLine="567"/>
        <w:jc w:val="both"/>
        <w:rPr>
          <w:rFonts w:ascii="Arial Narrow" w:hAnsi="Arial Narrow"/>
          <w:b/>
          <w:color w:val="404040"/>
          <w:sz w:val="28"/>
          <w:szCs w:val="28"/>
          <w:u w:val="single"/>
        </w:rPr>
      </w:pPr>
      <w:r>
        <w:rPr>
          <w:rFonts w:ascii="Arial Narrow" w:hAnsi="Arial Narrow"/>
          <w:b/>
          <w:color w:val="404040"/>
          <w:sz w:val="28"/>
          <w:szCs w:val="28"/>
          <w:u w:val="single"/>
        </w:rPr>
        <w:t>Zasady</w:t>
      </w:r>
      <w:r w:rsidR="00277EAE" w:rsidRPr="00277EAE">
        <w:rPr>
          <w:rFonts w:ascii="Arial Narrow" w:hAnsi="Arial Narrow"/>
          <w:b/>
          <w:color w:val="404040"/>
          <w:sz w:val="28"/>
          <w:szCs w:val="28"/>
          <w:u w:val="single"/>
        </w:rPr>
        <w:t xml:space="preserve"> monitorowania zabezpieczenia generalnego długów celnych w drodze audytu</w:t>
      </w:r>
      <w:r w:rsidR="00172C08">
        <w:rPr>
          <w:rFonts w:ascii="Arial Narrow" w:hAnsi="Arial Narrow"/>
          <w:b/>
          <w:color w:val="404040"/>
          <w:sz w:val="28"/>
          <w:szCs w:val="28"/>
          <w:u w:val="single"/>
        </w:rPr>
        <w:t xml:space="preserve"> (informacja dla przedsiębiorców – sierpień 2018 r.)</w:t>
      </w:r>
      <w:r w:rsidR="00277EAE">
        <w:rPr>
          <w:rFonts w:ascii="Arial Narrow" w:hAnsi="Arial Narrow"/>
          <w:b/>
          <w:color w:val="404040"/>
          <w:sz w:val="28"/>
          <w:szCs w:val="28"/>
          <w:u w:val="single"/>
        </w:rPr>
        <w:t>:</w:t>
      </w:r>
    </w:p>
    <w:p w:rsidR="00277EAE" w:rsidRDefault="00277EAE" w:rsidP="00277EAE">
      <w:pPr>
        <w:spacing w:after="0" w:line="240" w:lineRule="auto"/>
        <w:ind w:firstLine="567"/>
        <w:jc w:val="both"/>
        <w:rPr>
          <w:rFonts w:ascii="Arial Narrow" w:hAnsi="Arial Narrow"/>
          <w:b/>
          <w:color w:val="404040"/>
          <w:sz w:val="28"/>
          <w:szCs w:val="28"/>
        </w:rPr>
      </w:pPr>
    </w:p>
    <w:p w:rsidR="0084157C" w:rsidRDefault="00277EAE" w:rsidP="00277EAE">
      <w:pPr>
        <w:spacing w:after="0" w:line="240" w:lineRule="auto"/>
        <w:ind w:firstLine="708"/>
        <w:jc w:val="both"/>
        <w:rPr>
          <w:rFonts w:ascii="Arial Narrow" w:eastAsia="+mn-ea" w:hAnsi="Arial Narrow"/>
          <w:color w:val="000000"/>
          <w:kern w:val="24"/>
          <w:sz w:val="24"/>
          <w:szCs w:val="24"/>
        </w:rPr>
      </w:pP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Monitorowanie kwoty referencyjnej zabezpieczenia </w:t>
      </w:r>
      <w:r w:rsidR="00AC3F26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generalnego 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>w drodze audytu polega na regularn</w:t>
      </w:r>
      <w:r>
        <w:rPr>
          <w:rFonts w:ascii="Arial Narrow" w:eastAsia="Times New Roman" w:hAnsi="Arial Narrow"/>
          <w:color w:val="000000"/>
          <w:kern w:val="24"/>
          <w:sz w:val="24"/>
          <w:szCs w:val="24"/>
        </w:rPr>
        <w:t>ym sprawdzaniu przez organ celno-skarbowy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, czy kwota należności celnych i podatkowych podlegających zabezpieczeniu nie przekroczyła kwoty referencyjnej w okresie korzystania ze złożonego zabezpieczenia generalnego (zwolnienie z obowiązku złożenia zabezpieczenia, o którym mowa w art. 95 ust. 2 unijnego kodeksu celnego, jest przy tym równoznaczne ze złożeniem zabezpieczenia generalnego). 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Audyt w powyższym rozumieniu zastępuje, w określonych przypadkach, saldowanie kwoty referencyjnej zabezpieczenia w </w:t>
      </w:r>
      <w:r w:rsidR="00AC3F26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elektronicznym 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systemie </w:t>
      </w:r>
      <w:r w:rsidR="00AC3F26">
        <w:rPr>
          <w:rFonts w:ascii="Arial Narrow" w:eastAsia="+mn-ea" w:hAnsi="Arial Narrow"/>
          <w:color w:val="000000"/>
          <w:kern w:val="24"/>
          <w:sz w:val="24"/>
          <w:szCs w:val="24"/>
        </w:rPr>
        <w:t>organów celno-skarbowych obsług</w:t>
      </w:r>
      <w:r w:rsidR="00FE02AE">
        <w:rPr>
          <w:rFonts w:ascii="Arial Narrow" w:eastAsia="+mn-ea" w:hAnsi="Arial Narrow"/>
          <w:color w:val="000000"/>
          <w:kern w:val="24"/>
          <w:sz w:val="24"/>
          <w:szCs w:val="24"/>
        </w:rPr>
        <w:t>ującym</w:t>
      </w:r>
      <w:r w:rsidR="00AC3F26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zabezpiecze</w:t>
      </w:r>
      <w:r w:rsidR="00FE02AE">
        <w:rPr>
          <w:rFonts w:ascii="Arial Narrow" w:eastAsia="+mn-ea" w:hAnsi="Arial Narrow"/>
          <w:color w:val="000000"/>
          <w:kern w:val="24"/>
          <w:sz w:val="24"/>
          <w:szCs w:val="24"/>
        </w:rPr>
        <w:t>nia</w:t>
      </w:r>
      <w:r w:rsidR="00AC3F26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(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>OSOZ2</w:t>
      </w:r>
      <w:r w:rsidR="00AC3F26">
        <w:rPr>
          <w:rFonts w:ascii="Arial Narrow" w:eastAsia="+mn-ea" w:hAnsi="Arial Narrow"/>
          <w:color w:val="000000"/>
          <w:kern w:val="24"/>
          <w:sz w:val="24"/>
          <w:szCs w:val="24"/>
        </w:rPr>
        <w:t>)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. </w:t>
      </w:r>
      <w:r w:rsidR="0084157C">
        <w:rPr>
          <w:rFonts w:ascii="Arial Narrow" w:eastAsia="+mn-ea" w:hAnsi="Arial Narrow"/>
          <w:color w:val="000000"/>
          <w:kern w:val="24"/>
          <w:sz w:val="24"/>
          <w:szCs w:val="24"/>
        </w:rPr>
        <w:t>Czynności organu celno-skarbowego w ramach tego audytu o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>dbywa</w:t>
      </w:r>
      <w:r w:rsidR="0084157C">
        <w:rPr>
          <w:rFonts w:ascii="Arial Narrow" w:eastAsia="+mn-ea" w:hAnsi="Arial Narrow"/>
          <w:color w:val="000000"/>
          <w:kern w:val="24"/>
          <w:sz w:val="24"/>
          <w:szCs w:val="24"/>
        </w:rPr>
        <w:t>ją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się</w:t>
      </w:r>
      <w:r w:rsidR="0084157C">
        <w:rPr>
          <w:rFonts w:ascii="Arial Narrow" w:eastAsia="+mn-ea" w:hAnsi="Arial Narrow"/>
          <w:color w:val="000000"/>
          <w:kern w:val="24"/>
          <w:sz w:val="24"/>
          <w:szCs w:val="24"/>
        </w:rPr>
        <w:t>,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w przeciwieństwie do saldowania, po zwolnieniu towaru do procedury lub, w przypadku zastosowania uproszczeń, o których mowa w art. 166 lub 182 unijnego kodeksu celnego, po zakończeniu obsługi zgłoszenia uzupełniającego.</w:t>
      </w:r>
      <w:r w:rsidR="00AD7F53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Nie zwalnia to jednak osoby składającej zabezpieczenie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</w:t>
      </w:r>
      <w:r w:rsidR="00AD7F53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z obowiązku odpowiedniego monitorowania kwoty referencyjnej zabezpieczenia, </w:t>
      </w:r>
      <w:r w:rsidR="00FE02AE">
        <w:rPr>
          <w:rFonts w:ascii="Arial Narrow" w:eastAsia="+mn-ea" w:hAnsi="Arial Narrow"/>
          <w:color w:val="000000"/>
          <w:kern w:val="24"/>
          <w:sz w:val="24"/>
          <w:szCs w:val="24"/>
        </w:rPr>
        <w:t>zgodnie z</w:t>
      </w:r>
      <w:r w:rsidR="00AD7F53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art. 156 </w:t>
      </w:r>
      <w:r w:rsidR="00AD7F53" w:rsidRPr="007A7AB7">
        <w:rPr>
          <w:rFonts w:ascii="Arial Narrow" w:hAnsi="Arial Narrow"/>
          <w:sz w:val="24"/>
          <w:szCs w:val="24"/>
        </w:rPr>
        <w:t>rozporządzenia wykonawczego do unijnego kodeksu celnego</w:t>
      </w:r>
      <w:r w:rsidR="00AD7F53">
        <w:rPr>
          <w:rFonts w:ascii="Arial Narrow" w:hAnsi="Arial Narrow"/>
          <w:sz w:val="24"/>
          <w:szCs w:val="24"/>
        </w:rPr>
        <w:t xml:space="preserve">, </w:t>
      </w:r>
      <w:r w:rsidR="00FE02AE">
        <w:rPr>
          <w:rFonts w:ascii="Arial Narrow" w:hAnsi="Arial Narrow"/>
          <w:sz w:val="24"/>
          <w:szCs w:val="24"/>
        </w:rPr>
        <w:t>w każdym czasie.</w:t>
      </w:r>
      <w:r w:rsidR="00AD7F53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</w:t>
      </w:r>
    </w:p>
    <w:p w:rsidR="00277EAE" w:rsidRPr="007A7AB7" w:rsidRDefault="00277EAE" w:rsidP="00277EAE">
      <w:pPr>
        <w:spacing w:after="0" w:line="240" w:lineRule="auto"/>
        <w:ind w:firstLine="708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 xml:space="preserve">Monitorowanie kwoty referencyjnej zabezpieczenia w drodze audytu dokonywane jest w ramach monitorowania pozwolenia na złożenie zabezpieczenia generalnego, na podstawie art. 23 ust. 5 zdanie drugie UKC (monitorowanie wypełniania obowiązków wynikających z pozwolenia). </w:t>
      </w:r>
    </w:p>
    <w:p w:rsidR="00277EAE" w:rsidRPr="007A7AB7" w:rsidRDefault="00277EAE" w:rsidP="00277EAE">
      <w:pPr>
        <w:spacing w:after="0" w:line="240" w:lineRule="auto"/>
        <w:ind w:firstLine="708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>Postępowanie w sprawie weryfikacji kwoty referencyjnej zabezpieczenia, o którym mowa w art. 155 ust. 5 rozporządzenia wykonawczego do unijnego kodeksu celnego, stanowi odrębne postępowanie, które może, lecz nie musi, zostać wszczęte na podstawie wyników audytu przeprowadzonego w ramach monitorowania kwoty referencyjnej zabezpieczenia. Weryfikacja kwoty referencyjnej oznacza aktualizację wartości kwoty referencyjnej, podczas gdy monitorowanie kwoty referencyjnej stanowi sprawdzanie, czy ustalona kwota referencyjna jest w każdym czasie wystarczająca do pokrycia należności celnych i podatkowych, które powstały lub mogą powstać.</w:t>
      </w:r>
    </w:p>
    <w:p w:rsidR="00277EAE" w:rsidRDefault="00277EAE" w:rsidP="00277EAE">
      <w:pPr>
        <w:autoSpaceDE w:val="0"/>
        <w:autoSpaceDN w:val="0"/>
        <w:adjustRightInd w:val="0"/>
        <w:spacing w:after="0" w:line="240" w:lineRule="auto"/>
        <w:ind w:firstLine="663"/>
        <w:jc w:val="both"/>
        <w:rPr>
          <w:rFonts w:ascii="Arial Narrow" w:eastAsia="Times New Roman" w:hAnsi="Arial Narrow"/>
          <w:color w:val="000000"/>
          <w:kern w:val="24"/>
          <w:sz w:val="24"/>
          <w:szCs w:val="24"/>
        </w:rPr>
      </w:pPr>
    </w:p>
    <w:p w:rsidR="00277EAE" w:rsidRPr="007A7AB7" w:rsidRDefault="00277EAE" w:rsidP="00277EAE">
      <w:pPr>
        <w:autoSpaceDE w:val="0"/>
        <w:autoSpaceDN w:val="0"/>
        <w:adjustRightInd w:val="0"/>
        <w:spacing w:after="0" w:line="240" w:lineRule="auto"/>
        <w:ind w:firstLine="663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W myśl </w:t>
      </w:r>
      <w:r w:rsidRPr="007A7AB7">
        <w:rPr>
          <w:rFonts w:ascii="Arial Narrow" w:hAnsi="Arial Narrow"/>
          <w:sz w:val="24"/>
          <w:szCs w:val="24"/>
        </w:rPr>
        <w:t>art. 148 ust. 2 unijnego kodeksu celnego</w:t>
      </w:r>
      <w:r w:rsidRPr="007A7AB7">
        <w:rPr>
          <w:rFonts w:ascii="Arial Narrow" w:hAnsi="Arial Narrow"/>
          <w:color w:val="000000"/>
          <w:sz w:val="24"/>
          <w:szCs w:val="24"/>
          <w:lang w:eastAsia="en-GB"/>
        </w:rPr>
        <w:t xml:space="preserve"> oraz </w:t>
      </w:r>
      <w:r w:rsidRPr="007A7AB7">
        <w:rPr>
          <w:rFonts w:ascii="Arial Narrow" w:hAnsi="Arial Narrow"/>
          <w:sz w:val="24"/>
          <w:szCs w:val="24"/>
        </w:rPr>
        <w:t xml:space="preserve">art. 157 ust. 3 rozporządzenia wykonawczego do tego kodeksu, powyższa metoda monitorowania zasadniczo dotyczy zabezpieczeń pokrywających potencjalne długi celne w czasowym składowaniu i wszystkich procedurach specjalnych innych niż tranzyt (z wyjątkiem sytuacji, w których zabezpieczenie w procedurze tranzytu nie może być monitorowane w systemie elektronicznym). Niemniej jednak za dopuszczalne uznaje się stosowanie przez poszczególne państwa członkowskie </w:t>
      </w:r>
      <w:r w:rsidR="006A5841">
        <w:rPr>
          <w:rFonts w:ascii="Arial Narrow" w:hAnsi="Arial Narrow"/>
          <w:sz w:val="24"/>
          <w:szCs w:val="24"/>
        </w:rPr>
        <w:t xml:space="preserve">Unii Europejskiej </w:t>
      </w:r>
      <w:r w:rsidRPr="007A7AB7">
        <w:rPr>
          <w:rFonts w:ascii="Arial Narrow" w:hAnsi="Arial Narrow"/>
          <w:sz w:val="24"/>
          <w:szCs w:val="24"/>
        </w:rPr>
        <w:t xml:space="preserve">bardziej zaawansowanych sposobów monitorowania, o ile ich zastosowanie jest wykonalne w danej procedurze. 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Na obszarze Polski monitorowanie kwot referencyjnych w drodze audytu odbywa się w każdym przypadku w stosunku do zabezpieczeń złożonych do czasowego składowania w 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>miejscach uznanych i magazynach czasowego składowania, do procedury składowania celnego oraz do procedury tranzytu, w której zgłoszenie celne składane jest</w:t>
      </w:r>
      <w:r w:rsidRPr="007A7AB7">
        <w:rPr>
          <w:rFonts w:ascii="Arial Narrow" w:hAnsi="Arial Narrow"/>
          <w:sz w:val="24"/>
          <w:szCs w:val="24"/>
        </w:rPr>
        <w:t xml:space="preserve"> w formie papierowej (na liście przewozowym CIM) dla towarów przewożonych koleją – po ponownej ocenie odpowiednich pozwoleń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>. W stosunku do pozostałych procedur specjalnych innych niż tranzyt, monitorowanie powinno odbywać się, co do zasady, w drodze saldowania w systemie OSOZ2 na podstawie odpowiednich komunikatów wymienianych pomiędzy systemami operacyjnymi</w:t>
      </w:r>
      <w:r w:rsidR="006A5841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organów celno-skarbowych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. </w:t>
      </w:r>
    </w:p>
    <w:p w:rsidR="00277EAE" w:rsidRPr="007A7AB7" w:rsidRDefault="00277EAE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eastAsia="Times New Roman" w:hAnsi="Arial Narrow"/>
          <w:color w:val="000000"/>
          <w:kern w:val="24"/>
          <w:sz w:val="24"/>
          <w:szCs w:val="24"/>
        </w:rPr>
      </w:pPr>
      <w:r>
        <w:rPr>
          <w:rFonts w:ascii="Arial Narrow" w:eastAsia="+mn-ea" w:hAnsi="Arial Narrow"/>
          <w:color w:val="000000"/>
          <w:kern w:val="24"/>
          <w:sz w:val="24"/>
          <w:szCs w:val="24"/>
        </w:rPr>
        <w:t>Za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dopuszczalne uzna</w:t>
      </w:r>
      <w:r w:rsidR="00A9656D">
        <w:rPr>
          <w:rFonts w:ascii="Arial Narrow" w:eastAsia="+mn-ea" w:hAnsi="Arial Narrow"/>
          <w:color w:val="000000"/>
          <w:kern w:val="24"/>
          <w:sz w:val="24"/>
          <w:szCs w:val="24"/>
        </w:rPr>
        <w:t>je się</w:t>
      </w:r>
      <w:r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jednak również stosowanie, dla danego pozwolenia na złożenie zabezpieczenia </w:t>
      </w:r>
      <w:r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generalnego 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w procedurze uszlachetniania czynnego, odprawy czasowej lub końcowego przeznaczenia, monitorowania w drodze audytu kwoty referencyjnej zabezpieczenia pokrywającego potencjalne długi celne, jeżeli saldowanie okazałoby się w konkretnym przypadku bardziej uciążliwe i mniej efektywne niż audyt. 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W celu uniknięcia wymuszenia komunikacji pomiędzy systemem importowym (CELINA, AIS/IMPORT) a systemem OSOZ2, należy w takim przypadku przyjąć tryb podawania w zgłoszeniach celnych do procedury uszlachetniania czynnego i odprawy czasowej (o ile zgłoszenie celne do którejkolwiek z tych procedur nie stanowi równocześnie wniosku o udzielenie pozwolenia na 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lastRenderedPageBreak/>
        <w:t xml:space="preserve">stosowanie procedury specjalnej na podstawie zgłoszenia celnego) kodu metody płatności L (zamiast kodu D) dla należności celnych i podatkowych obliczonych w polu 47 zgłoszenia celnego (z wyjątkiem, podlegających zapłacie, należności podatkowych w procedurze odprawy czasowej z częściowym zwolnieniem od należności celnych) wraz z podaniem krajowego kodu informacji dodatkowej 4PL07. </w:t>
      </w:r>
      <w:r w:rsidR="00AF1C1C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Powyższe nie jest wymagane w zgłoszeniach </w:t>
      </w:r>
      <w:r w:rsidR="00AF1C1C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celnych </w:t>
      </w:r>
      <w:r w:rsidR="00AF1C1C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do procedury końcowego przeznaczenia, z uwagi na brak kwoty potencjalnych należności </w:t>
      </w:r>
      <w:r w:rsidR="00875A86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w </w:t>
      </w:r>
      <w:r w:rsidR="00AF1C1C">
        <w:rPr>
          <w:rFonts w:ascii="Arial Narrow" w:eastAsia="Times New Roman" w:hAnsi="Arial Narrow"/>
          <w:color w:val="000000"/>
          <w:kern w:val="24"/>
          <w:sz w:val="24"/>
          <w:szCs w:val="24"/>
        </w:rPr>
        <w:t>zgłoszeniu</w:t>
      </w:r>
      <w:r w:rsidR="00875A86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 do tej procedury</w:t>
      </w:r>
      <w:r w:rsidR="00AF1C1C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. 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>Dodatkowo, dla  procedury uszlachetniania czynnego i odprawy czasowej</w:t>
      </w:r>
      <w:r>
        <w:rPr>
          <w:rFonts w:ascii="Arial Narrow" w:eastAsia="Times New Roman" w:hAnsi="Arial Narrow"/>
          <w:color w:val="000000"/>
          <w:kern w:val="24"/>
          <w:sz w:val="24"/>
          <w:szCs w:val="24"/>
        </w:rPr>
        <w:t>,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 po kodzie 4PL07 </w:t>
      </w:r>
      <w:r>
        <w:rPr>
          <w:rFonts w:ascii="Arial Narrow" w:eastAsia="Times New Roman" w:hAnsi="Arial Narrow"/>
          <w:color w:val="000000"/>
          <w:kern w:val="24"/>
          <w:sz w:val="24"/>
          <w:szCs w:val="24"/>
        </w:rPr>
        <w:t>(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>a dla procedury składowania celnego – po kodzie 4PL13</w:t>
      </w:r>
      <w:r>
        <w:rPr>
          <w:rFonts w:ascii="Arial Narrow" w:eastAsia="Times New Roman" w:hAnsi="Arial Narrow"/>
          <w:color w:val="000000"/>
          <w:kern w:val="24"/>
          <w:sz w:val="24"/>
          <w:szCs w:val="24"/>
        </w:rPr>
        <w:t>)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, zgłaszający winien podać numer referencyjny zabezpieczenia (GRN). W przypadku wyboru ww. sposobu  postępowania, powinien on każdorazowo zostać opisany w pozwoleniu na korzystanie z procedury 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>uszlachetniania czynnego</w:t>
      </w:r>
      <w:r>
        <w:rPr>
          <w:rFonts w:ascii="Arial Narrow" w:eastAsia="+mn-ea" w:hAnsi="Arial Narrow"/>
          <w:color w:val="000000"/>
          <w:kern w:val="24"/>
          <w:sz w:val="24"/>
          <w:szCs w:val="24"/>
        </w:rPr>
        <w:t>,</w:t>
      </w:r>
      <w:r w:rsidRPr="007A7AB7"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odprawy czasowej</w:t>
      </w:r>
      <w:r>
        <w:rPr>
          <w:rFonts w:ascii="Arial Narrow" w:eastAsia="+mn-ea" w:hAnsi="Arial Narrow"/>
          <w:color w:val="000000"/>
          <w:kern w:val="24"/>
          <w:sz w:val="24"/>
          <w:szCs w:val="24"/>
        </w:rPr>
        <w:t xml:space="preserve"> lub końcowego przeznaczenia</w:t>
      </w:r>
      <w:r w:rsidRPr="007A7AB7">
        <w:rPr>
          <w:rFonts w:ascii="Arial Narrow" w:eastAsia="Times New Roman" w:hAnsi="Arial Narrow"/>
          <w:color w:val="000000"/>
          <w:kern w:val="24"/>
          <w:sz w:val="24"/>
          <w:szCs w:val="24"/>
        </w:rPr>
        <w:t xml:space="preserve">, ze wskazaniem, że ma on zastosowanie do wszystkich operacji dokonywanych na podstawie tego pozwolenia.  </w:t>
      </w:r>
    </w:p>
    <w:p w:rsidR="00277EAE" w:rsidRDefault="00277EAE" w:rsidP="00277EAE">
      <w:pPr>
        <w:spacing w:after="0" w:line="240" w:lineRule="auto"/>
        <w:jc w:val="both"/>
        <w:rPr>
          <w:rFonts w:ascii="Arial Narrow" w:hAnsi="Arial Narrow"/>
          <w:b/>
          <w:color w:val="404040"/>
          <w:sz w:val="24"/>
          <w:szCs w:val="24"/>
        </w:rPr>
      </w:pPr>
    </w:p>
    <w:p w:rsidR="00277EAE" w:rsidRPr="00EC6461" w:rsidRDefault="00277EAE" w:rsidP="00277EAE">
      <w:pPr>
        <w:spacing w:after="0" w:line="240" w:lineRule="auto"/>
        <w:ind w:firstLine="708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 xml:space="preserve">Organem właściwym do monitorowania kwoty referencyjnej zabezpieczenia w drodze audytu jest organ wydający pozwolenie na złożenie zabezpieczenia generalnego. Takie podejście umożliwia realizację zasady ważności zabezpieczeń na obszarze całego kraju, co </w:t>
      </w:r>
      <w:r w:rsidR="00875A86">
        <w:rPr>
          <w:rFonts w:ascii="Arial Narrow" w:hAnsi="Arial Narrow"/>
          <w:sz w:val="24"/>
          <w:szCs w:val="24"/>
        </w:rPr>
        <w:t>skutkuje</w:t>
      </w:r>
      <w:r w:rsidRPr="007A7AB7">
        <w:rPr>
          <w:rFonts w:ascii="Arial Narrow" w:hAnsi="Arial Narrow"/>
          <w:sz w:val="24"/>
          <w:szCs w:val="24"/>
        </w:rPr>
        <w:t xml:space="preserve"> generowanie</w:t>
      </w:r>
      <w:r w:rsidR="00875A86">
        <w:rPr>
          <w:rFonts w:ascii="Arial Narrow" w:hAnsi="Arial Narrow"/>
          <w:sz w:val="24"/>
          <w:szCs w:val="24"/>
        </w:rPr>
        <w:t>m</w:t>
      </w:r>
      <w:r w:rsidRPr="007A7AB7">
        <w:rPr>
          <w:rFonts w:ascii="Arial Narrow" w:hAnsi="Arial Narrow"/>
          <w:sz w:val="24"/>
          <w:szCs w:val="24"/>
        </w:rPr>
        <w:t xml:space="preserve"> jednego numeru referencyjnego zabezpieczenia (GRN) dla zabezpieczenia pokrywającego dany rodzaj „procedury” ważnego na obszarze właściwości wszystkich Izb Administracji Skarbowej i mogącego obejmować więcej niż jedno pozwolenie </w:t>
      </w:r>
      <w:r w:rsidRPr="00EC6461">
        <w:rPr>
          <w:rFonts w:ascii="Arial Narrow" w:hAnsi="Arial Narrow"/>
          <w:sz w:val="24"/>
          <w:szCs w:val="24"/>
        </w:rPr>
        <w:t xml:space="preserve">dotyczące procedury specjalnej innej niż tranzyt lub czasowego składowania (wówczas w każdym z tych pozwoleń podawana jest ta sama kwota zabezpieczenia, tj. łączna kwota dla danego GRN). </w:t>
      </w:r>
    </w:p>
    <w:p w:rsidR="00277EAE" w:rsidRPr="00EC6461" w:rsidRDefault="00277EAE" w:rsidP="00277EAE">
      <w:p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Arial Narrow" w:hAnsi="Arial Narrow"/>
          <w:b/>
          <w:color w:val="404040"/>
          <w:sz w:val="24"/>
          <w:szCs w:val="24"/>
        </w:rPr>
      </w:pPr>
    </w:p>
    <w:p w:rsidR="00EC6461" w:rsidRPr="00EC6461" w:rsidRDefault="00EC6461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hAnsi="Arial Narrow"/>
          <w:sz w:val="24"/>
          <w:szCs w:val="24"/>
        </w:rPr>
      </w:pPr>
      <w:r w:rsidRPr="00EC6461">
        <w:rPr>
          <w:rFonts w:ascii="Arial Narrow" w:eastAsiaTheme="minorEastAsia" w:hAnsi="Arial Narrow"/>
          <w:color w:val="000000" w:themeColor="text1"/>
          <w:kern w:val="24"/>
          <w:sz w:val="24"/>
          <w:szCs w:val="24"/>
        </w:rPr>
        <w:t>S</w:t>
      </w:r>
      <w:r w:rsidRPr="00EC6461">
        <w:rPr>
          <w:rFonts w:ascii="Arial Narrow" w:eastAsiaTheme="minorEastAsia" w:hAnsi="Arial Narrow"/>
          <w:color w:val="000000" w:themeColor="text1"/>
          <w:kern w:val="24"/>
          <w:sz w:val="24"/>
          <w:szCs w:val="24"/>
        </w:rPr>
        <w:t xml:space="preserve">tosowanie </w:t>
      </w:r>
      <w:r w:rsidR="0084157C">
        <w:rPr>
          <w:rFonts w:ascii="Arial Narrow" w:eastAsiaTheme="minorEastAsia" w:hAnsi="Arial Narrow"/>
          <w:color w:val="000000" w:themeColor="text1"/>
          <w:kern w:val="24"/>
          <w:sz w:val="24"/>
          <w:szCs w:val="24"/>
        </w:rPr>
        <w:t xml:space="preserve">przez organ celno-skarbowy </w:t>
      </w:r>
      <w:r w:rsidRPr="00EC6461">
        <w:rPr>
          <w:rFonts w:ascii="Arial Narrow" w:eastAsiaTheme="minorEastAsia" w:hAnsi="Arial Narrow"/>
          <w:color w:val="000000" w:themeColor="text1"/>
          <w:kern w:val="24"/>
          <w:sz w:val="24"/>
          <w:szCs w:val="24"/>
        </w:rPr>
        <w:t xml:space="preserve">tego sposobu monitorowania </w:t>
      </w:r>
      <w:r w:rsidR="000C3845" w:rsidRPr="007A7AB7">
        <w:rPr>
          <w:rFonts w:ascii="Arial Narrow" w:hAnsi="Arial Narrow"/>
          <w:sz w:val="24"/>
          <w:szCs w:val="24"/>
        </w:rPr>
        <w:t xml:space="preserve">kwoty referencyjnej </w:t>
      </w:r>
      <w:r w:rsidR="0084157C">
        <w:rPr>
          <w:rFonts w:ascii="Arial Narrow" w:eastAsiaTheme="minorEastAsia" w:hAnsi="Arial Narrow"/>
          <w:color w:val="000000" w:themeColor="text1"/>
          <w:kern w:val="24"/>
          <w:sz w:val="24"/>
          <w:szCs w:val="24"/>
        </w:rPr>
        <w:t xml:space="preserve">zabezpieczenia </w:t>
      </w:r>
      <w:r w:rsidRPr="00EC6461">
        <w:rPr>
          <w:rFonts w:ascii="Arial Narrow" w:eastAsiaTheme="minorEastAsia" w:hAnsi="Arial Narrow"/>
          <w:color w:val="000000" w:themeColor="text1"/>
          <w:kern w:val="24"/>
          <w:sz w:val="24"/>
          <w:szCs w:val="24"/>
        </w:rPr>
        <w:t xml:space="preserve">wymaga od posiadacza pozwolenia na złożenie zabezpieczenia generalnego znacznie większego zaangażowania w proces monitorowania </w:t>
      </w:r>
      <w:r w:rsidRPr="00EC6461">
        <w:rPr>
          <w:rFonts w:ascii="Arial Narrow" w:hAnsi="Arial Narrow"/>
          <w:sz w:val="24"/>
          <w:szCs w:val="24"/>
        </w:rPr>
        <w:t>niż w sytuacji, w której kwota ta podlega</w:t>
      </w:r>
      <w:r w:rsidR="00875A86">
        <w:rPr>
          <w:rFonts w:ascii="Arial Narrow" w:hAnsi="Arial Narrow"/>
          <w:sz w:val="24"/>
          <w:szCs w:val="24"/>
        </w:rPr>
        <w:t>łaby</w:t>
      </w:r>
      <w:r w:rsidRPr="00EC6461">
        <w:rPr>
          <w:rFonts w:ascii="Arial Narrow" w:hAnsi="Arial Narrow"/>
          <w:sz w:val="24"/>
          <w:szCs w:val="24"/>
        </w:rPr>
        <w:t xml:space="preserve"> saldowaniu w systemie elektronicznym organów celn</w:t>
      </w:r>
      <w:r w:rsidR="000C3845">
        <w:rPr>
          <w:rFonts w:ascii="Arial Narrow" w:hAnsi="Arial Narrow"/>
          <w:sz w:val="24"/>
          <w:szCs w:val="24"/>
        </w:rPr>
        <w:t>o-skarbowych</w:t>
      </w:r>
      <w:r w:rsidRPr="00EC6461">
        <w:rPr>
          <w:rFonts w:ascii="Arial Narrow" w:hAnsi="Arial Narrow"/>
          <w:sz w:val="24"/>
          <w:szCs w:val="24"/>
        </w:rPr>
        <w:t xml:space="preserve">. </w:t>
      </w:r>
    </w:p>
    <w:p w:rsidR="00EC6461" w:rsidRPr="00EC6461" w:rsidRDefault="00EC6461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hAnsi="Arial Narrow"/>
          <w:sz w:val="24"/>
          <w:szCs w:val="24"/>
        </w:rPr>
      </w:pPr>
    </w:p>
    <w:p w:rsidR="00277EAE" w:rsidRPr="007A7AB7" w:rsidRDefault="00277EAE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hAnsi="Arial Narrow"/>
          <w:sz w:val="24"/>
          <w:szCs w:val="24"/>
        </w:rPr>
      </w:pPr>
      <w:r w:rsidRPr="00EC6461">
        <w:rPr>
          <w:rFonts w:ascii="Arial Narrow" w:hAnsi="Arial Narrow"/>
          <w:sz w:val="24"/>
          <w:szCs w:val="24"/>
        </w:rPr>
        <w:t>W celu umożliwienia prawidłowego monitorowania kwoty referencyjnej zabezpieczenia,</w:t>
      </w:r>
      <w:r w:rsidRPr="007A7AB7">
        <w:rPr>
          <w:rFonts w:ascii="Arial Narrow" w:hAnsi="Arial Narrow"/>
          <w:sz w:val="24"/>
          <w:szCs w:val="24"/>
        </w:rPr>
        <w:t xml:space="preserve"> niezbędnym jest prowadzenia przez posiadacza pozwolenia na złożenie zabezpieczenia generalnego ewidencji obejmującej całość operacji otwieranych z wykorzystaniem danego GRN (również w przypadku GRN dla więcej niż jednego pozwolenia na korzystanie z procedury specjalnej lub prowadzenie składu</w:t>
      </w:r>
      <w:r>
        <w:rPr>
          <w:rFonts w:ascii="Arial Narrow" w:hAnsi="Arial Narrow"/>
          <w:sz w:val="24"/>
          <w:szCs w:val="24"/>
        </w:rPr>
        <w:t xml:space="preserve"> celnego</w:t>
      </w:r>
      <w:r w:rsidRPr="007A7AB7">
        <w:rPr>
          <w:rFonts w:ascii="Arial Narrow" w:hAnsi="Arial Narrow"/>
          <w:sz w:val="24"/>
          <w:szCs w:val="24"/>
        </w:rPr>
        <w:t xml:space="preserve">, magazynu czasowego składowania lub miejsca uznanego) oraz, o ile to możliwe, zapewniającej nieusuwalność danych. Rodzaj tej ewidencji winien zostać wskazany we wniosku o udzielenie pozwolenia na złożenie zabezpieczenia generalnego (patrz: Załącznik A do </w:t>
      </w:r>
      <w:r w:rsidR="00172C08">
        <w:rPr>
          <w:rFonts w:ascii="Arial Narrow" w:hAnsi="Arial Narrow"/>
          <w:sz w:val="24"/>
          <w:szCs w:val="24"/>
        </w:rPr>
        <w:t>rozporządzenia delegowanego do unijnego kodeksu celnego</w:t>
      </w:r>
      <w:r w:rsidRPr="007A7AB7">
        <w:rPr>
          <w:rFonts w:ascii="Arial Narrow" w:hAnsi="Arial Narrow"/>
          <w:sz w:val="24"/>
          <w:szCs w:val="24"/>
        </w:rPr>
        <w:t>, Dana 8/2).</w:t>
      </w:r>
      <w:r w:rsidR="00A9656D">
        <w:rPr>
          <w:rFonts w:ascii="Arial Narrow" w:hAnsi="Arial Narrow"/>
          <w:sz w:val="24"/>
          <w:szCs w:val="24"/>
        </w:rPr>
        <w:t xml:space="preserve"> </w:t>
      </w:r>
      <w:r w:rsidRPr="007A7AB7">
        <w:rPr>
          <w:rFonts w:ascii="Arial Narrow" w:hAnsi="Arial Narrow"/>
          <w:sz w:val="24"/>
          <w:szCs w:val="24"/>
        </w:rPr>
        <w:t>Ewidencja ta powinna zawierać co najmniej następujące dane dotyczące przebiegu wszystkich operacji celnych objętych danym GRN:</w:t>
      </w:r>
    </w:p>
    <w:p w:rsidR="00277EAE" w:rsidRPr="007A7AB7" w:rsidRDefault="00277EAE" w:rsidP="00277EAE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 xml:space="preserve">numer referencyjny zgłoszenia lub deklaracji (lub odpowiednio numer innego identyfikatora </w:t>
      </w:r>
      <w:bookmarkStart w:id="0" w:name="_GoBack"/>
      <w:bookmarkEnd w:id="0"/>
      <w:r w:rsidRPr="007A7AB7">
        <w:rPr>
          <w:rFonts w:ascii="Arial Narrow" w:hAnsi="Arial Narrow"/>
          <w:sz w:val="24"/>
          <w:szCs w:val="24"/>
        </w:rPr>
        <w:t>towaru, np. pozycji ewidencji magazynu),</w:t>
      </w:r>
    </w:p>
    <w:p w:rsidR="00277EAE" w:rsidRPr="007A7AB7" w:rsidRDefault="00277EAE" w:rsidP="00277EAE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>datę i godzinę zwolnienia towarów do procedury/rozpoczęcia czasowego składowania,</w:t>
      </w:r>
    </w:p>
    <w:p w:rsidR="00277EAE" w:rsidRPr="007A7AB7" w:rsidRDefault="00277EAE" w:rsidP="00277EAE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>kwotę należności celnych i podatkowych objętą zabezpieczeniem na skutek zwolnienia do procedury/rozpoczęcia czasowego składowania, o którym mowa w pkt 2,</w:t>
      </w:r>
    </w:p>
    <w:p w:rsidR="00277EAE" w:rsidRPr="007A7AB7" w:rsidRDefault="00277EAE" w:rsidP="00277EAE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>datę i godzinę zamknięcia procedury/zakończenia czasowego składowania (w przypadku operacji tranzytowych, w których zgłoszenie celne składne jest w formie papierowej (na liście przewozowym CIM) dla towarów przewożonych koleją dopuszczalne jest podawanie przypuszczalnej daty i godziny),</w:t>
      </w:r>
    </w:p>
    <w:p w:rsidR="00277EAE" w:rsidRPr="007A7AB7" w:rsidRDefault="00277EAE" w:rsidP="00277EAE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>kwotę zabezpieczenia zwolnioną na skutek zamknięcia/zakończenia, o którym mowa w pkt 4, oraz</w:t>
      </w:r>
    </w:p>
    <w:p w:rsidR="00277EAE" w:rsidRPr="00EC6461" w:rsidRDefault="00277EAE" w:rsidP="00277EAE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24"/>
          <w:szCs w:val="24"/>
        </w:rPr>
      </w:pPr>
      <w:r w:rsidRPr="007A7AB7">
        <w:rPr>
          <w:rFonts w:ascii="Arial Narrow" w:hAnsi="Arial Narrow"/>
          <w:sz w:val="24"/>
          <w:szCs w:val="24"/>
        </w:rPr>
        <w:t xml:space="preserve">saldo zbiorcze kwot należności celnych i podatkowych objętych zabezpieczeniem, generowane po każdym zwolnieniu towaru do procedury/rozpoczęciu czasowego </w:t>
      </w:r>
      <w:r w:rsidRPr="007A7AB7">
        <w:rPr>
          <w:rFonts w:ascii="Arial Narrow" w:hAnsi="Arial Narrow"/>
          <w:sz w:val="24"/>
          <w:szCs w:val="24"/>
        </w:rPr>
        <w:lastRenderedPageBreak/>
        <w:t xml:space="preserve">składowania i zwolnionych po każdym zamknięciu procedury/zakończeniu czasowego </w:t>
      </w:r>
      <w:r w:rsidRPr="00EC6461">
        <w:rPr>
          <w:rFonts w:ascii="Arial Narrow" w:hAnsi="Arial Narrow"/>
          <w:sz w:val="24"/>
          <w:szCs w:val="24"/>
        </w:rPr>
        <w:t>składowania.</w:t>
      </w:r>
    </w:p>
    <w:p w:rsidR="00277EAE" w:rsidRPr="00EC6461" w:rsidRDefault="00277EAE" w:rsidP="00A9656D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+mn-ea" w:hAnsi="Arial Narrow"/>
          <w:color w:val="000000"/>
          <w:kern w:val="24"/>
          <w:sz w:val="24"/>
          <w:szCs w:val="24"/>
          <w:lang w:eastAsia="pl-PL"/>
        </w:rPr>
      </w:pPr>
    </w:p>
    <w:p w:rsidR="00277EAE" w:rsidRPr="00EC6461" w:rsidRDefault="00EC6461" w:rsidP="00A9656D">
      <w:pPr>
        <w:spacing w:after="0" w:line="240" w:lineRule="auto"/>
        <w:ind w:firstLine="708"/>
        <w:jc w:val="both"/>
        <w:rPr>
          <w:rFonts w:ascii="Arial Narrow" w:hAnsi="Arial Narrow"/>
          <w:sz w:val="24"/>
          <w:szCs w:val="24"/>
        </w:rPr>
      </w:pPr>
      <w:r w:rsidRPr="00EC6461">
        <w:rPr>
          <w:rFonts w:ascii="Arial Narrow" w:hAnsi="Arial Narrow"/>
          <w:sz w:val="24"/>
          <w:szCs w:val="24"/>
        </w:rPr>
        <w:t>Posiadacz pozwolenia na złożenie zabezpieczenia generalnego musi ponadto liczyć się z koniecznością przedstawiania, na wezwania organu celn</w:t>
      </w:r>
      <w:r w:rsidR="00172C08">
        <w:rPr>
          <w:rFonts w:ascii="Arial Narrow" w:hAnsi="Arial Narrow"/>
          <w:sz w:val="24"/>
          <w:szCs w:val="24"/>
        </w:rPr>
        <w:t>o-skarbowego</w:t>
      </w:r>
      <w:r w:rsidRPr="00EC6461">
        <w:rPr>
          <w:rFonts w:ascii="Arial Narrow" w:hAnsi="Arial Narrow"/>
          <w:sz w:val="24"/>
          <w:szCs w:val="24"/>
        </w:rPr>
        <w:t xml:space="preserve">, dostępnych w jego siedzibie lub </w:t>
      </w:r>
      <w:r w:rsidRPr="00EC6461">
        <w:rPr>
          <w:rFonts w:ascii="Arial Narrow" w:hAnsi="Arial Narrow"/>
          <w:sz w:val="24"/>
          <w:szCs w:val="24"/>
        </w:rPr>
        <w:t>innym</w:t>
      </w:r>
      <w:r w:rsidRPr="00EC6461">
        <w:rPr>
          <w:rFonts w:ascii="Arial Narrow" w:hAnsi="Arial Narrow"/>
          <w:sz w:val="24"/>
          <w:szCs w:val="24"/>
        </w:rPr>
        <w:t xml:space="preserve"> miejscu prowadzenia </w:t>
      </w:r>
      <w:r w:rsidR="00172C08">
        <w:rPr>
          <w:rFonts w:ascii="Arial Narrow" w:hAnsi="Arial Narrow"/>
          <w:sz w:val="24"/>
          <w:szCs w:val="24"/>
        </w:rPr>
        <w:t xml:space="preserve">przez niego </w:t>
      </w:r>
      <w:r w:rsidRPr="00EC6461">
        <w:rPr>
          <w:rFonts w:ascii="Arial Narrow" w:hAnsi="Arial Narrow"/>
          <w:sz w:val="24"/>
          <w:szCs w:val="24"/>
        </w:rPr>
        <w:t>działalności, dokumentów</w:t>
      </w:r>
      <w:r w:rsidR="00172C08">
        <w:rPr>
          <w:rFonts w:ascii="Arial Narrow" w:hAnsi="Arial Narrow"/>
          <w:sz w:val="24"/>
          <w:szCs w:val="24"/>
        </w:rPr>
        <w:t>/informacji/ewidencji</w:t>
      </w:r>
      <w:r w:rsidRPr="00EC6461">
        <w:rPr>
          <w:rFonts w:ascii="Arial Narrow" w:hAnsi="Arial Narrow"/>
          <w:sz w:val="24"/>
          <w:szCs w:val="24"/>
        </w:rPr>
        <w:t xml:space="preserve"> umożliwiających sprawdzenie </w:t>
      </w:r>
      <w:r w:rsidR="00172C08">
        <w:rPr>
          <w:rFonts w:ascii="Arial Narrow" w:hAnsi="Arial Narrow"/>
          <w:sz w:val="24"/>
          <w:szCs w:val="24"/>
        </w:rPr>
        <w:t xml:space="preserve">przez organ </w:t>
      </w:r>
      <w:r w:rsidRPr="00EC6461">
        <w:rPr>
          <w:rFonts w:ascii="Arial Narrow" w:hAnsi="Arial Narrow"/>
          <w:sz w:val="24"/>
          <w:szCs w:val="24"/>
        </w:rPr>
        <w:t>prawdziwości danych zawartych we wspomnianej ewidencji.</w:t>
      </w:r>
    </w:p>
    <w:p w:rsidR="00277EAE" w:rsidRPr="00EC6461" w:rsidRDefault="00277EAE" w:rsidP="00277EAE">
      <w:pPr>
        <w:spacing w:after="0" w:line="240" w:lineRule="auto"/>
        <w:jc w:val="both"/>
        <w:rPr>
          <w:rFonts w:ascii="Arial Narrow" w:hAnsi="Arial Narrow"/>
          <w:sz w:val="24"/>
          <w:szCs w:val="24"/>
        </w:rPr>
      </w:pPr>
    </w:p>
    <w:p w:rsidR="00277EAE" w:rsidRPr="007A7AB7" w:rsidRDefault="00277EAE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hAnsi="Arial Narrow"/>
          <w:color w:val="000000"/>
          <w:sz w:val="24"/>
          <w:szCs w:val="24"/>
          <w:lang w:eastAsia="en-GB"/>
        </w:rPr>
      </w:pPr>
      <w:r w:rsidRPr="00EC6461">
        <w:rPr>
          <w:rFonts w:ascii="Arial Narrow" w:hAnsi="Arial Narrow"/>
          <w:color w:val="000000"/>
          <w:sz w:val="24"/>
          <w:szCs w:val="24"/>
          <w:lang w:eastAsia="en-GB"/>
        </w:rPr>
        <w:t>Powyższe wy</w:t>
      </w:r>
      <w:r w:rsidR="00A9656D" w:rsidRPr="00EC6461">
        <w:rPr>
          <w:rFonts w:ascii="Arial Narrow" w:hAnsi="Arial Narrow"/>
          <w:color w:val="000000"/>
          <w:sz w:val="24"/>
          <w:szCs w:val="24"/>
          <w:lang w:eastAsia="en-GB"/>
        </w:rPr>
        <w:t>jaśnienia</w:t>
      </w:r>
      <w:r w:rsidRPr="00EC6461">
        <w:rPr>
          <w:rFonts w:ascii="Arial Narrow" w:hAnsi="Arial Narrow"/>
          <w:color w:val="000000"/>
          <w:sz w:val="24"/>
          <w:szCs w:val="24"/>
          <w:lang w:eastAsia="en-GB"/>
        </w:rPr>
        <w:t xml:space="preserve"> </w:t>
      </w:r>
      <w:r w:rsidR="00EC6461">
        <w:rPr>
          <w:rFonts w:ascii="Arial Narrow" w:hAnsi="Arial Narrow"/>
          <w:color w:val="000000"/>
          <w:sz w:val="24"/>
          <w:szCs w:val="24"/>
          <w:lang w:eastAsia="en-GB"/>
        </w:rPr>
        <w:t>odnoszą</w:t>
      </w:r>
      <w:r w:rsidRPr="00EC6461">
        <w:rPr>
          <w:rFonts w:ascii="Arial Narrow" w:hAnsi="Arial Narrow"/>
          <w:color w:val="000000"/>
          <w:sz w:val="24"/>
          <w:szCs w:val="24"/>
          <w:lang w:eastAsia="en-GB"/>
        </w:rPr>
        <w:t xml:space="preserve"> się odpowiednio do monitorowania części kwoty referencyjnej</w:t>
      </w:r>
      <w:r w:rsidRPr="007A7AB7">
        <w:rPr>
          <w:rFonts w:ascii="Arial Narrow" w:hAnsi="Arial Narrow"/>
          <w:color w:val="000000"/>
          <w:sz w:val="24"/>
          <w:szCs w:val="24"/>
          <w:lang w:eastAsia="en-GB"/>
        </w:rPr>
        <w:t xml:space="preserve"> zabezpieczenia generalnego złożonego w innym państwie członkowskim Unii Europejskiej, które może zostać wykorzystane na terytorium Polski. Organem właściwym do tego monitorowania jest Dyrektor Izby Administracji Skarbowej we Wrocławiu, w zakresie kompetencji tego organu. </w:t>
      </w:r>
    </w:p>
    <w:p w:rsidR="00277EAE" w:rsidRDefault="00277EAE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hAnsi="Arial Narrow"/>
          <w:color w:val="000000"/>
          <w:sz w:val="24"/>
          <w:szCs w:val="24"/>
          <w:lang w:eastAsia="en-GB"/>
        </w:rPr>
      </w:pPr>
    </w:p>
    <w:p w:rsidR="00277EAE" w:rsidRPr="007A7AB7" w:rsidRDefault="00277EAE" w:rsidP="00277EA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 Narrow" w:hAnsi="Arial Narrow"/>
          <w:color w:val="000000"/>
          <w:sz w:val="24"/>
          <w:szCs w:val="24"/>
          <w:lang w:eastAsia="en-GB"/>
        </w:rPr>
      </w:pPr>
      <w:r w:rsidRPr="007A7AB7">
        <w:rPr>
          <w:rFonts w:ascii="Arial Narrow" w:hAnsi="Arial Narrow"/>
          <w:color w:val="000000"/>
          <w:sz w:val="24"/>
          <w:szCs w:val="24"/>
          <w:lang w:eastAsia="en-GB"/>
        </w:rPr>
        <w:t xml:space="preserve">Wszelkie dotychczasowe </w:t>
      </w:r>
      <w:r w:rsidR="00A9656D">
        <w:rPr>
          <w:rFonts w:ascii="Arial Narrow" w:hAnsi="Arial Narrow"/>
          <w:color w:val="000000"/>
          <w:sz w:val="24"/>
          <w:szCs w:val="24"/>
          <w:lang w:eastAsia="en-GB"/>
        </w:rPr>
        <w:t>wyjaśnienia</w:t>
      </w:r>
      <w:r w:rsidRPr="007A7AB7">
        <w:rPr>
          <w:rFonts w:ascii="Arial Narrow" w:hAnsi="Arial Narrow"/>
          <w:color w:val="000000"/>
          <w:sz w:val="24"/>
          <w:szCs w:val="24"/>
          <w:lang w:eastAsia="en-GB"/>
        </w:rPr>
        <w:t xml:space="preserve"> sprzeczne z powyższymi zasadami, należy uznać za nieaktualne.</w:t>
      </w:r>
    </w:p>
    <w:p w:rsidR="00FC1863" w:rsidRDefault="00FC1863"/>
    <w:sectPr w:rsidR="00FC18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E02884"/>
    <w:multiLevelType w:val="hybridMultilevel"/>
    <w:tmpl w:val="26B65E82"/>
    <w:lvl w:ilvl="0" w:tplc="3DEA9D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2C7C2B"/>
    <w:multiLevelType w:val="hybridMultilevel"/>
    <w:tmpl w:val="72A0D6F2"/>
    <w:lvl w:ilvl="0" w:tplc="AA980BA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6F273D0"/>
    <w:multiLevelType w:val="hybridMultilevel"/>
    <w:tmpl w:val="08D64796"/>
    <w:lvl w:ilvl="0" w:tplc="0FA215C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A7D699A"/>
    <w:multiLevelType w:val="hybridMultilevel"/>
    <w:tmpl w:val="97169E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ABC"/>
    <w:rsid w:val="000C3845"/>
    <w:rsid w:val="00172C08"/>
    <w:rsid w:val="00277EAE"/>
    <w:rsid w:val="006A5841"/>
    <w:rsid w:val="0084157C"/>
    <w:rsid w:val="00875A86"/>
    <w:rsid w:val="00A9656D"/>
    <w:rsid w:val="00AC3F26"/>
    <w:rsid w:val="00AD7F53"/>
    <w:rsid w:val="00AF1C1C"/>
    <w:rsid w:val="00EC6461"/>
    <w:rsid w:val="00F57796"/>
    <w:rsid w:val="00FC1863"/>
    <w:rsid w:val="00FD1ABC"/>
    <w:rsid w:val="00FE0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90D963-EFF6-44DE-91EF-E5118DDF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7EA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72"/>
    <w:qFormat/>
    <w:rsid w:val="00277E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1297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9063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Bieżuńska Ewa</dc:creator>
  <cp:keywords/>
  <dc:description/>
  <cp:lastModifiedBy>Bieżuńska Ewa</cp:lastModifiedBy>
  <cp:revision>14</cp:revision>
  <dcterms:created xsi:type="dcterms:W3CDTF">2018-08-20T10:55:00Z</dcterms:created>
  <dcterms:modified xsi:type="dcterms:W3CDTF">2018-08-20T12:09:00Z</dcterms:modified>
</cp:coreProperties>
</file>