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16.3.0.0 -->
  <w:body>
    <w:p w:rsidR="00CC45B4" w:rsidP="00CC45B4">
      <w:pPr>
        <w:pStyle w:val="Heading2"/>
      </w:pPr>
      <w:r>
        <w:t>DZIAŁ 30</w:t>
      </w:r>
    </w:p>
    <w:p w:rsidR="00CC45B4" w:rsidP="00CC45B4">
      <w:pPr>
        <w:pStyle w:val="ChapterTitle"/>
      </w:pPr>
      <w:r>
        <w:t>PRODUKTY FARMACEUTYCZNE</w:t>
      </w:r>
    </w:p>
    <w:p w:rsidR="00CC45B4" w:rsidRPr="009C15BA" w:rsidP="00CC45B4">
      <w:pPr>
        <w:pStyle w:val="Heading5"/>
        <w:spacing w:before="120"/>
        <w:rPr>
          <w:szCs w:val="20"/>
        </w:rPr>
      </w:pPr>
      <w:r w:rsidRPr="009C15BA">
        <w:rPr>
          <w:szCs w:val="20"/>
        </w:rPr>
        <w:t>Uwagi</w:t>
      </w:r>
    </w:p>
    <w:p w:rsidR="00CC45B4" w:rsidRPr="009C15BA" w:rsidP="00CC45B4">
      <w:pPr>
        <w:numPr>
          <w:ilvl w:val="0"/>
          <w:numId w:val="28"/>
        </w:numPr>
        <w:spacing w:before="120"/>
      </w:pPr>
      <w:r w:rsidRPr="009C15BA">
        <w:t>Niniejszy dział nie obejmuje:</w:t>
      </w:r>
    </w:p>
    <w:p w:rsidR="00CC45B4" w:rsidP="00CC45B4">
      <w:pPr>
        <w:numPr>
          <w:ilvl w:val="1"/>
          <w:numId w:val="28"/>
        </w:numPr>
        <w:spacing w:before="120"/>
      </w:pPr>
      <w:r w:rsidRPr="009C15BA">
        <w:t xml:space="preserve">żywności lub napojów (takich jak </w:t>
      </w:r>
      <w:r w:rsidR="004868FC">
        <w:t>żywność</w:t>
      </w:r>
      <w:r w:rsidRPr="009C15BA">
        <w:t xml:space="preserve"> dietetyczne, </w:t>
      </w:r>
      <w:r w:rsidR="004868FC">
        <w:t>żywność</w:t>
      </w:r>
      <w:r w:rsidRPr="009C15BA">
        <w:t xml:space="preserve"> dla diabetyków lub </w:t>
      </w:r>
      <w:r w:rsidR="004868FC">
        <w:t>żywność wzbogacona</w:t>
      </w:r>
      <w:r w:rsidRPr="009C15BA">
        <w:t xml:space="preserve">, </w:t>
      </w:r>
      <w:r>
        <w:t>suplementy diety</w:t>
      </w:r>
      <w:r w:rsidRPr="009C15BA">
        <w:t>, napoje wzmacniające i wody mineralne), innych niż preparaty odżywcze podawane dożylnie (sekcja IV);</w:t>
      </w:r>
    </w:p>
    <w:p w:rsidR="00CC45B4" w:rsidRPr="009C15BA" w:rsidP="00CC45B4">
      <w:pPr>
        <w:numPr>
          <w:ilvl w:val="1"/>
          <w:numId w:val="28"/>
        </w:numPr>
        <w:spacing w:before="120"/>
      </w:pPr>
      <w:r>
        <w:t xml:space="preserve">preparatów, takich jak tabletki, guma do żucia lub plastry (transdermalne systemy), przeznaczone do pomagania palaczom w zaprzestaniu palenia (pozycja </w:t>
      </w:r>
      <w:r w:rsidRPr="004868FC">
        <w:rPr>
          <w:rStyle w:val="NCode"/>
          <w:rFonts w:eastAsiaTheme="majorEastAsia"/>
          <w:b w:val="0"/>
          <w:lang w:val="pl-PL"/>
        </w:rPr>
        <w:t>2106</w:t>
      </w:r>
      <w:r>
        <w:t xml:space="preserve"> lub </w:t>
      </w:r>
      <w:r w:rsidRPr="004868FC">
        <w:rPr>
          <w:rStyle w:val="NCode"/>
          <w:rFonts w:eastAsiaTheme="majorEastAsia"/>
          <w:b w:val="0"/>
          <w:lang w:val="pl-PL"/>
        </w:rPr>
        <w:t>3824</w:t>
      </w:r>
      <w:r>
        <w:t>);</w:t>
      </w:r>
    </w:p>
    <w:p w:rsidR="00CC45B4" w:rsidRPr="009C15BA" w:rsidP="00CC45B4">
      <w:pPr>
        <w:numPr>
          <w:ilvl w:val="1"/>
          <w:numId w:val="28"/>
        </w:numPr>
        <w:spacing w:before="120"/>
      </w:pPr>
      <w:r w:rsidRPr="009C15BA">
        <w:t xml:space="preserve">gipsów specjalnie kalcynowanych lub drobnozmielonych do stosowania w stomatologii (pozycja </w:t>
      </w:r>
      <w:r w:rsidRPr="004868FC">
        <w:rPr>
          <w:rStyle w:val="NCode"/>
          <w:rFonts w:eastAsiaTheme="majorEastAsia"/>
          <w:b w:val="0"/>
          <w:lang w:val="pl-PL"/>
        </w:rPr>
        <w:t>2520</w:t>
      </w:r>
      <w:r w:rsidRPr="009C15BA">
        <w:t>);</w:t>
      </w:r>
    </w:p>
    <w:p w:rsidR="00CC45B4" w:rsidRPr="009C15BA" w:rsidP="00CC45B4">
      <w:pPr>
        <w:numPr>
          <w:ilvl w:val="1"/>
          <w:numId w:val="28"/>
        </w:numPr>
        <w:spacing w:before="120"/>
      </w:pPr>
      <w:r w:rsidRPr="009C15BA">
        <w:t xml:space="preserve">wodnych destylatów lub roztworów wodnych olejków eterycznych stosowanych w lecznictwie (pozycja </w:t>
      </w:r>
      <w:r w:rsidRPr="004868FC">
        <w:rPr>
          <w:rStyle w:val="NCode"/>
          <w:rFonts w:eastAsiaTheme="majorEastAsia"/>
          <w:b w:val="0"/>
          <w:lang w:val="pl-PL"/>
        </w:rPr>
        <w:t>3301</w:t>
      </w:r>
      <w:r w:rsidRPr="009C15BA">
        <w:t>);</w:t>
      </w:r>
    </w:p>
    <w:p w:rsidR="00CC45B4" w:rsidRPr="009C15BA" w:rsidP="00CC45B4">
      <w:pPr>
        <w:numPr>
          <w:ilvl w:val="1"/>
          <w:numId w:val="28"/>
        </w:numPr>
        <w:spacing w:before="120"/>
      </w:pPr>
      <w:r w:rsidRPr="009C15BA">
        <w:t xml:space="preserve">preparatów objętych pozycjami od </w:t>
      </w:r>
      <w:r w:rsidRPr="004868FC">
        <w:rPr>
          <w:rStyle w:val="NCode"/>
          <w:rFonts w:eastAsiaTheme="majorEastAsia"/>
          <w:b w:val="0"/>
          <w:lang w:val="pl-PL"/>
        </w:rPr>
        <w:t>3303</w:t>
      </w:r>
      <w:r w:rsidRPr="009C15BA">
        <w:t xml:space="preserve"> do </w:t>
      </w:r>
      <w:r w:rsidRPr="004868FC">
        <w:rPr>
          <w:rStyle w:val="NCode"/>
          <w:rFonts w:eastAsiaTheme="majorEastAsia"/>
          <w:b w:val="0"/>
          <w:lang w:val="pl-PL"/>
        </w:rPr>
        <w:t>3307</w:t>
      </w:r>
      <w:r w:rsidRPr="00B07135">
        <w:t>,</w:t>
      </w:r>
      <w:r>
        <w:t xml:space="preserve"> </w:t>
      </w:r>
      <w:r w:rsidRPr="009C15BA">
        <w:t>nawet jeżeli posiadają właściwości terapeutyczne lub profilaktyczne;</w:t>
      </w:r>
    </w:p>
    <w:p w:rsidR="00CC45B4" w:rsidRPr="009C15BA" w:rsidP="00CC45B4">
      <w:pPr>
        <w:numPr>
          <w:ilvl w:val="1"/>
          <w:numId w:val="28"/>
        </w:numPr>
        <w:spacing w:before="120"/>
      </w:pPr>
      <w:r w:rsidRPr="009C15BA">
        <w:t xml:space="preserve">mydeł lub pozostałych produktów objętych pozycją </w:t>
      </w:r>
      <w:r w:rsidRPr="004868FC">
        <w:rPr>
          <w:rStyle w:val="NCode"/>
          <w:rFonts w:eastAsiaTheme="majorEastAsia"/>
          <w:b w:val="0"/>
          <w:lang w:val="pl-PL"/>
        </w:rPr>
        <w:t>3401</w:t>
      </w:r>
      <w:r w:rsidRPr="009C15BA">
        <w:t xml:space="preserve"> zawierających dodatek leków;</w:t>
      </w:r>
    </w:p>
    <w:p w:rsidR="00CC45B4" w:rsidRPr="009C15BA" w:rsidP="00CC45B4">
      <w:pPr>
        <w:numPr>
          <w:ilvl w:val="1"/>
          <w:numId w:val="28"/>
        </w:numPr>
        <w:spacing w:before="120"/>
      </w:pPr>
      <w:r w:rsidRPr="009C15BA">
        <w:t xml:space="preserve">preparatów na bazie gipsu stosowanych w stomatologii (pozycja </w:t>
      </w:r>
      <w:r w:rsidRPr="004868FC">
        <w:rPr>
          <w:rStyle w:val="NCode"/>
          <w:rFonts w:eastAsiaTheme="majorEastAsia"/>
          <w:b w:val="0"/>
          <w:lang w:val="pl-PL"/>
        </w:rPr>
        <w:t>3407</w:t>
      </w:r>
      <w:r w:rsidRPr="009C15BA">
        <w:t>);</w:t>
      </w:r>
    </w:p>
    <w:p w:rsidR="00CC45B4" w:rsidRPr="009C15BA" w:rsidP="00CC45B4">
      <w:pPr>
        <w:numPr>
          <w:ilvl w:val="1"/>
          <w:numId w:val="28"/>
        </w:numPr>
        <w:spacing w:before="120"/>
      </w:pPr>
      <w:r w:rsidRPr="009C15BA">
        <w:t xml:space="preserve">albuminy krwi nieprzygotowanej do stosowania leczniczego lub profilaktycznego (pozycja </w:t>
      </w:r>
      <w:r w:rsidRPr="004868FC">
        <w:rPr>
          <w:rStyle w:val="NCode"/>
          <w:rFonts w:eastAsiaTheme="majorEastAsia"/>
          <w:b w:val="0"/>
          <w:lang w:val="pl-PL"/>
        </w:rPr>
        <w:t>3502</w:t>
      </w:r>
      <w:r w:rsidRPr="009C15BA">
        <w:t>).</w:t>
      </w:r>
    </w:p>
    <w:p w:rsidR="00CC45B4" w:rsidRPr="009C15BA" w:rsidP="00CC45B4">
      <w:pPr>
        <w:numPr>
          <w:ilvl w:val="0"/>
          <w:numId w:val="28"/>
        </w:numPr>
        <w:spacing w:before="120"/>
      </w:pPr>
      <w:r w:rsidRPr="009C15BA">
        <w:t xml:space="preserve">W pozycji </w:t>
      </w:r>
      <w:r w:rsidRPr="004868FC">
        <w:rPr>
          <w:rStyle w:val="NCode"/>
          <w:rFonts w:eastAsiaTheme="majorEastAsia"/>
          <w:b w:val="0"/>
          <w:lang w:val="pl-PL"/>
        </w:rPr>
        <w:t>3002</w:t>
      </w:r>
      <w:r w:rsidRPr="009C15BA">
        <w:t xml:space="preserve"> wyrażenie „produkty immunologiczne”</w:t>
      </w:r>
      <w:r>
        <w:t xml:space="preserve"> stosuje się do peptydów i białek (innych niż towary objęte pozycją </w:t>
      </w:r>
      <w:r w:rsidRPr="004868FC">
        <w:rPr>
          <w:rStyle w:val="NCode"/>
          <w:rFonts w:eastAsiaTheme="majorEastAsia"/>
          <w:b w:val="0"/>
          <w:lang w:val="pl-PL"/>
        </w:rPr>
        <w:t>2937</w:t>
      </w:r>
      <w:r>
        <w:t>), które są bezpośrednio zaangażowane w regulację</w:t>
      </w:r>
      <w:r w:rsidRPr="009C15BA">
        <w:t xml:space="preserve"> </w:t>
      </w:r>
      <w:r>
        <w:t>procesów immunologicznych, takie jak monoklonalne</w:t>
      </w:r>
      <w:r w:rsidRPr="009C15BA">
        <w:t xml:space="preserve"> przeciwciał</w:t>
      </w:r>
      <w:r>
        <w:t>a (MABs), fragmenty przeciwciał, sprzężone</w:t>
      </w:r>
      <w:r w:rsidRPr="009C15BA">
        <w:t xml:space="preserve"> przeciwciał</w:t>
      </w:r>
      <w:r>
        <w:t>a</w:t>
      </w:r>
      <w:r w:rsidRPr="009C15BA">
        <w:t xml:space="preserve"> i spr</w:t>
      </w:r>
      <w:r>
        <w:t>zężone fragmenty przeciwciał, interleukiny, interferony (IFN), chemokiny i niektóre czynniki martwicy nowotworu (TNF), czynniki wzrostu (GF), hematopoetyny i czynniki stymulujące kolonie (CSF).</w:t>
      </w:r>
    </w:p>
    <w:p w:rsidR="00CC45B4" w:rsidRPr="009C15BA" w:rsidP="00CC45B4">
      <w:pPr>
        <w:numPr>
          <w:ilvl w:val="0"/>
          <w:numId w:val="28"/>
        </w:numPr>
        <w:spacing w:before="120"/>
      </w:pPr>
      <w:r w:rsidRPr="009C15BA">
        <w:t xml:space="preserve">W pozycji </w:t>
      </w:r>
      <w:r w:rsidRPr="004868FC">
        <w:rPr>
          <w:rStyle w:val="NCode"/>
          <w:rFonts w:eastAsiaTheme="majorEastAsia"/>
          <w:b w:val="0"/>
          <w:lang w:val="pl-PL"/>
        </w:rPr>
        <w:t>3003</w:t>
      </w:r>
      <w:r w:rsidRPr="009C15BA">
        <w:t xml:space="preserve"> i </w:t>
      </w:r>
      <w:r w:rsidRPr="004868FC">
        <w:rPr>
          <w:rStyle w:val="NCode"/>
          <w:rFonts w:eastAsiaTheme="majorEastAsia"/>
          <w:b w:val="0"/>
          <w:lang w:val="pl-PL"/>
        </w:rPr>
        <w:t>3004</w:t>
      </w:r>
      <w:r w:rsidRPr="009C15BA">
        <w:t xml:space="preserve"> oraz uwagi 4 d) do niniejszego działu </w:t>
      </w:r>
      <w:r>
        <w:t xml:space="preserve">następujące </w:t>
      </w:r>
      <w:r w:rsidRPr="009C15BA">
        <w:t>należy traktować:</w:t>
      </w:r>
    </w:p>
    <w:p w:rsidR="00CC45B4" w:rsidRPr="009C15BA" w:rsidP="00CC45B4">
      <w:pPr>
        <w:numPr>
          <w:ilvl w:val="1"/>
          <w:numId w:val="28"/>
        </w:numPr>
        <w:spacing w:before="120"/>
      </w:pPr>
      <w:r w:rsidRPr="009C15BA">
        <w:t>jako produkty niezmieszane:</w:t>
      </w:r>
    </w:p>
    <w:p w:rsidR="00CC45B4" w:rsidRPr="009C15BA" w:rsidP="00CC45B4">
      <w:pPr>
        <w:numPr>
          <w:ilvl w:val="0"/>
          <w:numId w:val="29"/>
        </w:numPr>
        <w:tabs>
          <w:tab w:val="num" w:pos="1440"/>
        </w:tabs>
        <w:spacing w:before="120"/>
        <w:ind w:left="1440" w:hanging="360"/>
      </w:pPr>
      <w:r w:rsidRPr="009C15BA">
        <w:t>produkty niezmieszane rozpuszczone w wodzie;</w:t>
      </w:r>
    </w:p>
    <w:p w:rsidR="00CC45B4" w:rsidRPr="009C15BA" w:rsidP="00CC45B4">
      <w:pPr>
        <w:numPr>
          <w:ilvl w:val="0"/>
          <w:numId w:val="29"/>
        </w:numPr>
        <w:tabs>
          <w:tab w:val="num" w:pos="1440"/>
        </w:tabs>
        <w:spacing w:before="120"/>
        <w:ind w:left="1440" w:hanging="360"/>
      </w:pPr>
      <w:r w:rsidRPr="009C15BA">
        <w:t>wszystkie produkty objęte działem 28 lub 29;</w:t>
      </w:r>
    </w:p>
    <w:p w:rsidR="00CC45B4" w:rsidRPr="009C15BA" w:rsidP="00CC45B4">
      <w:pPr>
        <w:numPr>
          <w:ilvl w:val="0"/>
          <w:numId w:val="29"/>
        </w:numPr>
        <w:tabs>
          <w:tab w:val="num" w:pos="1440"/>
        </w:tabs>
        <w:spacing w:before="120"/>
        <w:ind w:left="1440" w:hanging="360"/>
      </w:pPr>
      <w:r w:rsidRPr="009C15BA">
        <w:t xml:space="preserve">proste ekstrakty roślinne objęte pozycją </w:t>
      </w:r>
      <w:r w:rsidRPr="004868FC">
        <w:rPr>
          <w:rStyle w:val="NCode"/>
          <w:rFonts w:eastAsiaTheme="majorEastAsia"/>
          <w:b w:val="0"/>
          <w:lang w:val="pl-PL"/>
        </w:rPr>
        <w:t>1302</w:t>
      </w:r>
      <w:r w:rsidRPr="009C15BA">
        <w:t>, tylko standaryzowane lub rozpuszczone w dowolnym rozpuszczalniku;</w:t>
      </w:r>
    </w:p>
    <w:p w:rsidR="00CC45B4" w:rsidRPr="009C15BA" w:rsidP="00CC45B4">
      <w:pPr>
        <w:numPr>
          <w:ilvl w:val="1"/>
          <w:numId w:val="28"/>
        </w:numPr>
        <w:spacing w:before="120"/>
      </w:pPr>
      <w:r w:rsidRPr="009C15BA">
        <w:t>jako produkty, które zostały zmieszane:</w:t>
      </w:r>
    </w:p>
    <w:p w:rsidR="00CC45B4" w:rsidRPr="009C15BA" w:rsidP="00CC45B4">
      <w:pPr>
        <w:numPr>
          <w:ilvl w:val="0"/>
          <w:numId w:val="30"/>
        </w:numPr>
        <w:spacing w:before="120"/>
        <w:ind w:hanging="520"/>
      </w:pPr>
      <w:r w:rsidRPr="009C15BA">
        <w:t>roztwory koloidalne i zawiesiny (inne niż siarka koloidalna);</w:t>
      </w:r>
    </w:p>
    <w:p w:rsidR="00CC45B4" w:rsidRPr="009C15BA" w:rsidP="00CC45B4">
      <w:pPr>
        <w:numPr>
          <w:ilvl w:val="0"/>
          <w:numId w:val="30"/>
        </w:numPr>
        <w:spacing w:before="120"/>
        <w:ind w:hanging="520"/>
      </w:pPr>
      <w:r w:rsidRPr="009C15BA">
        <w:t>ekstrakty roślinne otrzymane przez obróbkę mieszanin materiałów roślinnych;</w:t>
      </w:r>
    </w:p>
    <w:p w:rsidR="00CC45B4" w:rsidRPr="009C15BA" w:rsidP="00CC45B4">
      <w:pPr>
        <w:numPr>
          <w:ilvl w:val="0"/>
          <w:numId w:val="30"/>
        </w:numPr>
        <w:spacing w:before="120"/>
        <w:ind w:hanging="520"/>
      </w:pPr>
      <w:r w:rsidRPr="009C15BA">
        <w:t>sole i koncentraty otrzymane w wyniku odparowywania naturalnych wód mineralnych.</w:t>
      </w:r>
    </w:p>
    <w:p w:rsidR="00CC45B4" w:rsidRPr="009C15BA" w:rsidP="00CC45B4">
      <w:pPr>
        <w:numPr>
          <w:ilvl w:val="0"/>
          <w:numId w:val="28"/>
        </w:numPr>
        <w:spacing w:before="120"/>
      </w:pPr>
      <w:r w:rsidRPr="009C15BA">
        <w:t xml:space="preserve">Pozycja </w:t>
      </w:r>
      <w:r w:rsidRPr="004868FC">
        <w:rPr>
          <w:rStyle w:val="NCode"/>
          <w:rFonts w:eastAsiaTheme="majorEastAsia"/>
          <w:b w:val="0"/>
          <w:lang w:val="pl-PL"/>
        </w:rPr>
        <w:t>3006</w:t>
      </w:r>
      <w:r w:rsidRPr="009C15BA">
        <w:t xml:space="preserve"> ma zastosowanie jedynie do następujących produktów, które należy klasyfikować do tej pozycji, a nie do żadnej innej pozycji nomenklatury:</w:t>
      </w:r>
    </w:p>
    <w:p w:rsidR="00CC45B4" w:rsidRPr="009C15BA" w:rsidP="00CC45B4">
      <w:pPr>
        <w:numPr>
          <w:ilvl w:val="1"/>
          <w:numId w:val="28"/>
        </w:numPr>
        <w:spacing w:before="120"/>
      </w:pPr>
      <w:r w:rsidRPr="009C15BA">
        <w:t>sterylnego katgutu chirurgicznego, podobnych sterylnych materiałów do zszywania chirurgicznego (włącznie ze sterylnymi wchłanialnymi nićmi chirurgicznymi lub dentystycznymi) oraz sterylnych materiałów przylepnych do chirurgicznego zamykania ran;</w:t>
      </w:r>
    </w:p>
    <w:p w:rsidR="00CC45B4" w:rsidRPr="009C15BA" w:rsidP="00CC45B4">
      <w:pPr>
        <w:numPr>
          <w:ilvl w:val="1"/>
          <w:numId w:val="28"/>
        </w:numPr>
        <w:spacing w:before="120"/>
      </w:pPr>
      <w:r w:rsidRPr="009C15BA">
        <w:t xml:space="preserve">sterylnych </w:t>
      </w:r>
      <w:r>
        <w:t>laminarii (listownicy)</w:t>
      </w:r>
      <w:r w:rsidRPr="009C15BA">
        <w:t xml:space="preserve"> i sterylnych tamponów</w:t>
      </w:r>
      <w:r>
        <w:t xml:space="preserve"> z laminarii</w:t>
      </w:r>
      <w:r w:rsidRPr="009C15BA">
        <w:t>;</w:t>
      </w:r>
    </w:p>
    <w:p w:rsidR="00CC45B4" w:rsidRPr="009C15BA" w:rsidP="00CC45B4">
      <w:pPr>
        <w:numPr>
          <w:ilvl w:val="1"/>
          <w:numId w:val="28"/>
        </w:numPr>
        <w:spacing w:before="120"/>
      </w:pPr>
      <w:r w:rsidRPr="009C15BA">
        <w:t>sterylnych absorpcyjnych chirurgicznych lub dentystycznych środków tamujących krwawienie; sterylnych chirurgicznych lub dentystycznych środków zapobiegających powstawaniu zrostów, nawet absorpcyjnych;</w:t>
      </w:r>
    </w:p>
    <w:p w:rsidR="00CC45B4" w:rsidRPr="009C15BA" w:rsidP="00CC45B4">
      <w:pPr>
        <w:numPr>
          <w:ilvl w:val="1"/>
          <w:numId w:val="28"/>
        </w:numPr>
        <w:spacing w:before="120"/>
      </w:pPr>
      <w:r w:rsidRPr="009C15BA">
        <w:t>preparatów kontrastowych do badań rentgenowskich oraz odczynników diagnostycznych przeznaczonych do badań pacjentów, będących produktami niezmieszanymi, pakowanymi w odmierzone dawki lub produktami składającymi się z dwóch lub więcej składników, które zostały razem zmieszane do tych celów;</w:t>
      </w:r>
    </w:p>
    <w:p w:rsidR="00CC45B4" w:rsidRPr="009C15BA" w:rsidP="00CC45B4">
      <w:pPr>
        <w:numPr>
          <w:ilvl w:val="1"/>
          <w:numId w:val="28"/>
        </w:numPr>
        <w:spacing w:before="120"/>
      </w:pPr>
      <w:r w:rsidRPr="009C15BA">
        <w:t>odczynników do ustalania grupy krwi;</w:t>
      </w:r>
    </w:p>
    <w:p w:rsidR="00CC45B4" w:rsidRPr="009C15BA" w:rsidP="00CC45B4">
      <w:pPr>
        <w:numPr>
          <w:ilvl w:val="1"/>
          <w:numId w:val="28"/>
        </w:numPr>
        <w:spacing w:before="120"/>
      </w:pPr>
      <w:r w:rsidRPr="009C15BA">
        <w:t xml:space="preserve">cementów dentystycznych i </w:t>
      </w:r>
      <w:r>
        <w:t>innych wypełnień</w:t>
      </w:r>
      <w:r w:rsidRPr="009C15BA">
        <w:t xml:space="preserve"> dentystycznych; cementów do rekonstrukcji kości;</w:t>
      </w:r>
    </w:p>
    <w:p w:rsidR="00CC45B4" w:rsidRPr="009C15BA" w:rsidP="00CC45B4">
      <w:pPr>
        <w:numPr>
          <w:ilvl w:val="1"/>
          <w:numId w:val="28"/>
        </w:numPr>
        <w:spacing w:before="120"/>
      </w:pPr>
      <w:r w:rsidRPr="009C15BA">
        <w:t>zestawów pierwszej pomocy;</w:t>
      </w:r>
    </w:p>
    <w:p w:rsidR="00CC45B4" w:rsidRPr="009C15BA" w:rsidP="00CC45B4">
      <w:pPr>
        <w:numPr>
          <w:ilvl w:val="1"/>
          <w:numId w:val="28"/>
        </w:numPr>
        <w:spacing w:before="120"/>
      </w:pPr>
      <w:r w:rsidRPr="009C15BA">
        <w:t xml:space="preserve">chemicznych preparatów antykoncepcyjnych na bazie hormonów, na bazie innych produktów objętych pozycją </w:t>
      </w:r>
      <w:r w:rsidRPr="004868FC">
        <w:rPr>
          <w:rStyle w:val="NCode"/>
          <w:rFonts w:eastAsiaTheme="majorEastAsia"/>
          <w:b w:val="0"/>
          <w:lang w:val="pl-PL"/>
        </w:rPr>
        <w:t>2937</w:t>
      </w:r>
      <w:r w:rsidRPr="009C15BA">
        <w:t xml:space="preserve"> lub na bazie środków plemnikobójczych;</w:t>
      </w:r>
    </w:p>
    <w:p w:rsidR="00CC45B4" w:rsidRPr="009C15BA" w:rsidP="00CC45B4">
      <w:pPr>
        <w:spacing w:before="120"/>
        <w:ind w:left="1080" w:hanging="360"/>
      </w:pPr>
      <w:r w:rsidRPr="009C15BA">
        <w:t>(ij) preparatów żelowych przeznaczonych do stosowania w medycynie lub weterynarii jako środki do smarowania części ciała podczas operacji chirurgicznych lub badań lekarskich lub jako środki poprawiające kontakt między ciałem a instrumentami medycznymi;</w:t>
      </w:r>
    </w:p>
    <w:p w:rsidR="00CC45B4" w:rsidRPr="009C15BA" w:rsidP="00CC45B4">
      <w:pPr>
        <w:numPr>
          <w:ilvl w:val="0"/>
          <w:numId w:val="31"/>
        </w:numPr>
        <w:spacing w:before="120"/>
      </w:pPr>
      <w:r w:rsidRPr="009C15BA">
        <w:t>odpadów farmaceutycznych, tzn. produktów farmaceutycznych, które nie nadają się do użycia zgodnie z ich pierwotnym przeznaczeniem, na przykład z powodu wygaśnięcia okresu zdatności do stosowania;</w:t>
      </w:r>
    </w:p>
    <w:p w:rsidR="00CC45B4" w:rsidP="00CC45B4">
      <w:pPr>
        <w:numPr>
          <w:ilvl w:val="0"/>
          <w:numId w:val="31"/>
        </w:numPr>
        <w:spacing w:before="120"/>
      </w:pPr>
      <w:r w:rsidRPr="009C15BA">
        <w:t>wyrobów identyfikowalnych jako stosowane do stomii, to jest worków przyciętych na kształt do kolostomii, ileostomii i urostomii oraz ich płytek przylepnych lub płytek zewnętrznych.</w:t>
      </w:r>
    </w:p>
    <w:p w:rsidR="0028105A" w:rsidP="0028105A">
      <w:pPr>
        <w:spacing w:after="240"/>
        <w:ind w:left="720"/>
        <w:jc w:val="center"/>
        <w:rPr>
          <w:spacing w:val="-10"/>
          <w:position w:val="-6"/>
        </w:rPr>
      </w:pPr>
    </w:p>
    <w:p w:rsidR="0028105A" w:rsidP="0028105A">
      <w:pPr>
        <w:spacing w:after="240"/>
        <w:ind w:left="720"/>
        <w:jc w:val="center"/>
      </w:pPr>
      <w:bookmarkStart w:id="0" w:name="_GoBack"/>
      <w:bookmarkEnd w:id="0"/>
      <w:r>
        <w:rPr>
          <w:spacing w:val="-10"/>
          <w:position w:val="-6"/>
        </w:rPr>
        <w:t xml:space="preserve">º </w:t>
      </w:r>
      <w:r>
        <w:rPr>
          <w:spacing w:val="-10"/>
          <w:position w:val="6"/>
        </w:rPr>
        <w:t xml:space="preserve">º </w:t>
      </w:r>
      <w:r>
        <w:rPr>
          <w:spacing w:val="-10"/>
          <w:position w:val="-6"/>
        </w:rPr>
        <w:t>º</w:t>
      </w:r>
    </w:p>
    <w:p w:rsidR="0028105A" w:rsidP="0028105A">
      <w:pPr>
        <w:spacing w:before="120"/>
      </w:pPr>
    </w:p>
    <w:p w:rsidR="004868FC" w:rsidP="004868FC">
      <w:pPr>
        <w:pStyle w:val="Heading5"/>
        <w:spacing w:before="120"/>
        <w:rPr>
          <w:szCs w:val="20"/>
        </w:rPr>
      </w:pPr>
      <w:r w:rsidRPr="004868FC">
        <w:rPr>
          <w:szCs w:val="20"/>
        </w:rPr>
        <w:t>Uwaga do podpozycji</w:t>
      </w:r>
    </w:p>
    <w:p w:rsidR="004868FC" w:rsidRPr="004868FC" w:rsidP="004868FC">
      <w:pPr>
        <w:pStyle w:val="Heading5"/>
        <w:spacing w:before="120"/>
        <w:rPr>
          <w:b w:val="0"/>
          <w:szCs w:val="20"/>
        </w:rPr>
      </w:pPr>
      <w:r>
        <w:rPr>
          <w:b w:val="0"/>
          <w:szCs w:val="20"/>
        </w:rPr>
        <w:t>1.</w:t>
      </w:r>
      <w:r>
        <w:rPr>
          <w:b w:val="0"/>
          <w:szCs w:val="20"/>
        </w:rPr>
        <w:tab/>
      </w:r>
      <w:r w:rsidRPr="004868FC">
        <w:rPr>
          <w:b w:val="0"/>
          <w:szCs w:val="20"/>
        </w:rPr>
        <w:t xml:space="preserve">W podpozycjach </w:t>
      </w:r>
      <w:r w:rsidRPr="00F70A0B">
        <w:rPr>
          <w:rStyle w:val="NCode"/>
          <w:spacing w:val="0"/>
          <w:lang w:val="pl-PL"/>
        </w:rPr>
        <w:t>3002 13</w:t>
      </w:r>
      <w:r w:rsidRPr="004868FC">
        <w:rPr>
          <w:b w:val="0"/>
          <w:szCs w:val="20"/>
        </w:rPr>
        <w:t xml:space="preserve"> i </w:t>
      </w:r>
      <w:r w:rsidRPr="00F70A0B">
        <w:rPr>
          <w:rStyle w:val="NCode"/>
          <w:spacing w:val="0"/>
          <w:lang w:val="pl-PL"/>
        </w:rPr>
        <w:t>3002 14</w:t>
      </w:r>
      <w:r w:rsidRPr="004868FC">
        <w:rPr>
          <w:b w:val="0"/>
          <w:szCs w:val="20"/>
        </w:rPr>
        <w:t xml:space="preserve"> następujące produkty traktuje się:</w:t>
      </w:r>
    </w:p>
    <w:p w:rsidR="004868FC" w:rsidP="004868FC">
      <w:pPr>
        <w:pStyle w:val="Heading5"/>
        <w:tabs>
          <w:tab w:val="left" w:pos="993"/>
        </w:tabs>
        <w:spacing w:before="120"/>
        <w:ind w:firstLine="709"/>
        <w:rPr>
          <w:b w:val="0"/>
          <w:szCs w:val="20"/>
        </w:rPr>
      </w:pPr>
      <w:r>
        <w:rPr>
          <w:b w:val="0"/>
          <w:szCs w:val="20"/>
        </w:rPr>
        <w:t>a)</w:t>
      </w:r>
      <w:r>
        <w:rPr>
          <w:b w:val="0"/>
          <w:szCs w:val="20"/>
        </w:rPr>
        <w:tab/>
        <w:t>jako produkty niezmieszane - produkty czyste, nawet zawierające zanieczyszczenia:</w:t>
      </w:r>
    </w:p>
    <w:p w:rsidR="00DE7576" w:rsidP="004868FC">
      <w:pPr>
        <w:pStyle w:val="Heading5"/>
        <w:tabs>
          <w:tab w:val="left" w:pos="993"/>
        </w:tabs>
        <w:spacing w:before="120"/>
        <w:ind w:firstLine="709"/>
        <w:rPr>
          <w:b w:val="0"/>
          <w:szCs w:val="20"/>
        </w:rPr>
      </w:pPr>
      <w:r>
        <w:rPr>
          <w:b w:val="0"/>
          <w:szCs w:val="20"/>
        </w:rPr>
        <w:t>b)</w:t>
      </w:r>
      <w:r>
        <w:rPr>
          <w:b w:val="0"/>
          <w:szCs w:val="20"/>
        </w:rPr>
        <w:tab/>
        <w:t>jako produkty, które zostały zmieszane:</w:t>
      </w:r>
    </w:p>
    <w:p w:rsidR="00DE7576" w:rsidP="00DE7576">
      <w:pPr>
        <w:pStyle w:val="Heading5"/>
        <w:tabs>
          <w:tab w:val="left" w:pos="993"/>
        </w:tabs>
        <w:spacing w:before="120"/>
        <w:ind w:firstLine="993"/>
        <w:rPr>
          <w:b w:val="0"/>
          <w:szCs w:val="20"/>
        </w:rPr>
      </w:pPr>
      <w:r>
        <w:rPr>
          <w:b w:val="0"/>
          <w:szCs w:val="20"/>
        </w:rPr>
        <w:t>1)</w:t>
      </w:r>
      <w:r>
        <w:rPr>
          <w:b w:val="0"/>
          <w:szCs w:val="20"/>
        </w:rPr>
        <w:tab/>
        <w:t>produkty wymienione w pkt a) powyżej - rozpuszczone w wodzie lub w innych rozpuszczalnikach;</w:t>
      </w:r>
    </w:p>
    <w:p w:rsidR="00DE7576" w:rsidP="00DE7576">
      <w:pPr>
        <w:pStyle w:val="Heading5"/>
        <w:tabs>
          <w:tab w:val="left" w:pos="993"/>
        </w:tabs>
        <w:spacing w:before="120"/>
        <w:ind w:left="1418" w:hanging="425"/>
        <w:rPr>
          <w:b w:val="0"/>
          <w:szCs w:val="20"/>
        </w:rPr>
      </w:pPr>
      <w:r>
        <w:rPr>
          <w:b w:val="0"/>
          <w:szCs w:val="20"/>
        </w:rPr>
        <w:t>2)</w:t>
      </w:r>
      <w:r>
        <w:rPr>
          <w:b w:val="0"/>
          <w:szCs w:val="20"/>
        </w:rPr>
        <w:tab/>
        <w:t>produkty wymienione w pkt a) i b) (1) powyżej - z dodatkiem stabilizatora niezbędnego do ich zabezpieczenia lub transportu;</w:t>
      </w:r>
    </w:p>
    <w:p w:rsidR="00DE7576" w:rsidP="00DE7576">
      <w:pPr>
        <w:pStyle w:val="Heading5"/>
        <w:tabs>
          <w:tab w:val="left" w:pos="993"/>
        </w:tabs>
        <w:spacing w:before="120"/>
        <w:ind w:firstLine="993"/>
        <w:rPr>
          <w:b w:val="0"/>
          <w:szCs w:val="20"/>
        </w:rPr>
      </w:pPr>
      <w:r>
        <w:rPr>
          <w:b w:val="0"/>
          <w:szCs w:val="20"/>
        </w:rPr>
        <w:t>3</w:t>
      </w:r>
      <w:r w:rsidR="00F70A0B">
        <w:rPr>
          <w:b w:val="0"/>
          <w:szCs w:val="20"/>
        </w:rPr>
        <w:t>)</w:t>
      </w:r>
      <w:r w:rsidR="00F70A0B">
        <w:rPr>
          <w:b w:val="0"/>
          <w:szCs w:val="20"/>
        </w:rPr>
        <w:tab/>
        <w:t>produkty wymienione w pkt a),</w:t>
      </w:r>
      <w:r>
        <w:rPr>
          <w:b w:val="0"/>
          <w:szCs w:val="20"/>
        </w:rPr>
        <w:t xml:space="preserve"> b) (1) i b) (2) powyżej - z dowolnym innym dodatkiem.</w:t>
      </w:r>
    </w:p>
    <w:p w:rsidR="00DE7576" w:rsidRPr="004868FC" w:rsidP="008F0A81">
      <w:pPr>
        <w:pStyle w:val="Heading5"/>
        <w:spacing w:before="120"/>
        <w:ind w:left="993" w:hanging="596"/>
        <w:rPr>
          <w:b w:val="0"/>
          <w:szCs w:val="20"/>
        </w:rPr>
      </w:pPr>
      <w:r>
        <w:rPr>
          <w:b w:val="0"/>
          <w:szCs w:val="20"/>
        </w:rPr>
        <w:t>2.</w:t>
      </w:r>
      <w:r>
        <w:rPr>
          <w:b w:val="0"/>
          <w:szCs w:val="20"/>
        </w:rPr>
        <w:tab/>
        <w:t xml:space="preserve">Podpozycje </w:t>
      </w:r>
      <w:r w:rsidRPr="00F70A0B">
        <w:rPr>
          <w:rStyle w:val="NCode"/>
          <w:spacing w:val="0"/>
          <w:lang w:val="pl-PL"/>
        </w:rPr>
        <w:t>3003 60</w:t>
      </w:r>
      <w:r>
        <w:rPr>
          <w:b w:val="0"/>
          <w:szCs w:val="20"/>
        </w:rPr>
        <w:t xml:space="preserve"> i </w:t>
      </w:r>
      <w:r w:rsidRPr="00F70A0B">
        <w:rPr>
          <w:rStyle w:val="NCode"/>
          <w:spacing w:val="0"/>
          <w:lang w:val="pl-PL"/>
        </w:rPr>
        <w:t>3004 60</w:t>
      </w:r>
      <w:r>
        <w:rPr>
          <w:b w:val="0"/>
          <w:szCs w:val="20"/>
        </w:rPr>
        <w:t xml:space="preserve"> obejmują leki zawierające artemizę (INN) do przyjmowania doustnego połączoną z innymi farmaceutycznymi czynnymi składnikami lub zawierające dowolną z następujących substancji czynnych, nawet połączonych z innymi farmaceutycznie czynnymi składnikami: amodiachina (INN); kwas artelinowy lub jego sole; artenimol (INN); artemotyl (INN); artemeter (INN);</w:t>
      </w:r>
      <w:r w:rsidR="008F0A81">
        <w:rPr>
          <w:b w:val="0"/>
          <w:szCs w:val="20"/>
        </w:rPr>
        <w:t>artesunat (INN); chlorochina (INN); dihydroartemizynina (INN); lumefantryna (INN); meflochina (INN); piperachina (INN); pirymetamina (INN) lub silfadoksyna (INN).</w:t>
      </w:r>
    </w:p>
    <w:p w:rsidR="00CC45B4" w:rsidRPr="009C15BA" w:rsidP="00CC45B4">
      <w:pPr>
        <w:pStyle w:val="Heading5"/>
        <w:spacing w:before="120"/>
        <w:rPr>
          <w:szCs w:val="20"/>
        </w:rPr>
      </w:pPr>
      <w:r>
        <w:rPr>
          <w:szCs w:val="20"/>
        </w:rPr>
        <w:t>Uwaga dodatkowa</w:t>
      </w:r>
    </w:p>
    <w:p w:rsidR="00CC45B4" w:rsidRPr="009C15BA" w:rsidP="00CC45B4">
      <w:pPr>
        <w:numPr>
          <w:ilvl w:val="0"/>
          <w:numId w:val="32"/>
        </w:numPr>
        <w:spacing w:before="120"/>
        <w:rPr>
          <w:i/>
        </w:rPr>
      </w:pPr>
      <w:r w:rsidRPr="009C15BA">
        <w:rPr>
          <w:i/>
        </w:rPr>
        <w:t xml:space="preserve">Pozycja </w:t>
      </w:r>
      <w:r w:rsidRPr="004868FC">
        <w:rPr>
          <w:rStyle w:val="NCode"/>
          <w:rFonts w:eastAsiaTheme="majorEastAsia"/>
          <w:b w:val="0"/>
          <w:i/>
          <w:lang w:val="pl-PL"/>
        </w:rPr>
        <w:t>3004</w:t>
      </w:r>
      <w:r w:rsidRPr="009C15BA">
        <w:rPr>
          <w:i/>
        </w:rPr>
        <w:t xml:space="preserve"> obejmuje </w:t>
      </w:r>
      <w:r>
        <w:rPr>
          <w:i/>
        </w:rPr>
        <w:t xml:space="preserve">produkty </w:t>
      </w:r>
      <w:r w:rsidRPr="009C15BA">
        <w:rPr>
          <w:i/>
        </w:rPr>
        <w:t xml:space="preserve">lecznicze </w:t>
      </w:r>
      <w:r>
        <w:rPr>
          <w:i/>
        </w:rPr>
        <w:t xml:space="preserve">roślinne </w:t>
      </w:r>
      <w:r w:rsidRPr="009C15BA">
        <w:rPr>
          <w:i/>
        </w:rPr>
        <w:t xml:space="preserve">i preparaty oparte na następujących substancjach </w:t>
      </w:r>
      <w:r>
        <w:rPr>
          <w:i/>
        </w:rPr>
        <w:t>czynnych</w:t>
      </w:r>
      <w:r w:rsidRPr="009C15BA">
        <w:rPr>
          <w:i/>
        </w:rPr>
        <w:t xml:space="preserve">: witaminach, minerałach, aminokwasach egzogennych lub kwasach tłuszczowych, w opakowaniach do sprzedaży detalicznej. Tego typu preparaty należy klasyfikować do pozycji </w:t>
      </w:r>
      <w:r w:rsidRPr="004868FC">
        <w:rPr>
          <w:rStyle w:val="NCode"/>
          <w:rFonts w:eastAsiaTheme="majorEastAsia"/>
          <w:b w:val="0"/>
          <w:i/>
          <w:lang w:val="pl-PL"/>
        </w:rPr>
        <w:t>3004</w:t>
      </w:r>
      <w:r w:rsidRPr="009C15BA">
        <w:rPr>
          <w:i/>
        </w:rPr>
        <w:t>, pod warunkiem że na etykiecie, opakowaniu lub na dołączonej ulotce zostały podane następujące informacje:</w:t>
      </w:r>
    </w:p>
    <w:p w:rsidR="00CC45B4" w:rsidRPr="009C15BA" w:rsidP="00CC45B4">
      <w:pPr>
        <w:numPr>
          <w:ilvl w:val="1"/>
          <w:numId w:val="32"/>
        </w:numPr>
        <w:spacing w:before="120"/>
        <w:rPr>
          <w:i/>
        </w:rPr>
      </w:pPr>
      <w:r w:rsidRPr="009C15BA">
        <w:rPr>
          <w:i/>
        </w:rPr>
        <w:t>o rodzaju choroby, dolegliwości lub ich symptomach, do których ma zastosowanie ten preparat;</w:t>
      </w:r>
    </w:p>
    <w:p w:rsidR="00CC45B4" w:rsidRPr="009C15BA" w:rsidP="00CC45B4">
      <w:pPr>
        <w:numPr>
          <w:ilvl w:val="1"/>
          <w:numId w:val="32"/>
        </w:numPr>
        <w:spacing w:before="120"/>
        <w:rPr>
          <w:i/>
        </w:rPr>
      </w:pPr>
      <w:r w:rsidRPr="009C15BA">
        <w:rPr>
          <w:i/>
        </w:rPr>
        <w:t xml:space="preserve">o stężeniu substancji </w:t>
      </w:r>
      <w:r>
        <w:rPr>
          <w:i/>
        </w:rPr>
        <w:t>czynnej</w:t>
      </w:r>
      <w:r w:rsidRPr="009C15BA">
        <w:rPr>
          <w:i/>
        </w:rPr>
        <w:t xml:space="preserve"> lub substancji </w:t>
      </w:r>
      <w:r>
        <w:rPr>
          <w:i/>
        </w:rPr>
        <w:t>czynnych</w:t>
      </w:r>
      <w:r w:rsidRPr="009C15BA">
        <w:rPr>
          <w:i/>
        </w:rPr>
        <w:t xml:space="preserve"> zawartych w nim;</w:t>
      </w:r>
    </w:p>
    <w:p w:rsidR="00CC45B4" w:rsidRPr="009C15BA" w:rsidP="00CC45B4">
      <w:pPr>
        <w:numPr>
          <w:ilvl w:val="1"/>
          <w:numId w:val="32"/>
        </w:numPr>
        <w:spacing w:before="120"/>
        <w:rPr>
          <w:i/>
        </w:rPr>
      </w:pPr>
      <w:r w:rsidRPr="009C15BA">
        <w:rPr>
          <w:i/>
        </w:rPr>
        <w:t>o dawkowaniu;</w:t>
      </w:r>
    </w:p>
    <w:p w:rsidR="00CC45B4" w:rsidRPr="009C15BA" w:rsidP="00CC45B4">
      <w:pPr>
        <w:numPr>
          <w:ilvl w:val="1"/>
          <w:numId w:val="32"/>
        </w:numPr>
        <w:spacing w:before="120"/>
        <w:rPr>
          <w:i/>
        </w:rPr>
      </w:pPr>
      <w:r w:rsidRPr="009C15BA">
        <w:rPr>
          <w:i/>
        </w:rPr>
        <w:t>o sposobie stosowania.</w:t>
      </w:r>
    </w:p>
    <w:p w:rsidR="00CC45B4" w:rsidRPr="009C15BA" w:rsidP="00CC45B4">
      <w:pPr>
        <w:spacing w:before="120"/>
        <w:ind w:left="720"/>
        <w:rPr>
          <w:i/>
        </w:rPr>
      </w:pPr>
      <w:r w:rsidRPr="009C15BA">
        <w:rPr>
          <w:i/>
        </w:rPr>
        <w:t xml:space="preserve">Pozycja ta obejmuje </w:t>
      </w:r>
      <w:r>
        <w:rPr>
          <w:i/>
        </w:rPr>
        <w:t>produkty</w:t>
      </w:r>
      <w:r w:rsidRPr="009C15BA">
        <w:rPr>
          <w:i/>
        </w:rPr>
        <w:t xml:space="preserve"> lecznicze</w:t>
      </w:r>
      <w:r>
        <w:rPr>
          <w:i/>
        </w:rPr>
        <w:t xml:space="preserve"> homeopatyczne</w:t>
      </w:r>
      <w:r w:rsidRPr="009C15BA">
        <w:rPr>
          <w:i/>
        </w:rPr>
        <w:t>, pod warunkiem że spełniają one wymagania wymienione powyżej w lit. a), c) i d).</w:t>
      </w:r>
    </w:p>
    <w:p w:rsidR="00CC45B4" w:rsidP="00CC45B4">
      <w:pPr>
        <w:spacing w:before="120"/>
        <w:ind w:left="720"/>
      </w:pPr>
      <w:r w:rsidRPr="009C15BA">
        <w:rPr>
          <w:i/>
        </w:rPr>
        <w:t>W przypadku preparatów opartych na witaminach, minerałach, aminokwasach egzogennych lub kwasach tłuszczowych zawartość jednej z tych substancji w zalecanej dawce dobowej podanej na etykiecie musi być znacząco wyższa niż dzienne spożycie zalecane do utrzymania ogólnego zdrowia lub dobrego samopoczucia</w:t>
      </w:r>
      <w:r w:rsidRPr="009C15BA">
        <w:t>.</w:t>
      </w:r>
    </w:p>
    <w:p w:rsidR="00CC45B4" w:rsidP="00CC45B4"/>
    <w:p w:rsidR="00821F9B" w:rsidRPr="00CC45B4" w:rsidP="00CC45B4">
      <w:pPr>
        <w:sectPr w:rsidSect="0028105A">
          <w:headerReference w:type="even" r:id="rId4"/>
          <w:headerReference w:type="default" r:id="rId5"/>
          <w:footerReference w:type="even" r:id="rId6"/>
          <w:footerReference w:type="default" r:id="rId7"/>
          <w:headerReference w:type="first" r:id="rId8"/>
          <w:footerReference w:type="first" r:id="rId9"/>
          <w:pgSz w:w="16840" w:h="23814" w:code="8"/>
          <w:pgMar w:top="1418" w:right="1418" w:bottom="1418" w:left="1418" w:header="709" w:footer="709" w:gutter="0"/>
          <w:cols w:space="709"/>
          <w:docGrid w:linePitch="360"/>
        </w:sectPr>
      </w:pPr>
    </w:p>
    <w:p w:rsidR="00A77B3E">
      <w:pPr>
        <w:spacing w:before="0" w:after="0"/>
        <w:jc w:val="center"/>
        <w:rPr>
          <w:rFonts w:ascii="Times New Roman" w:eastAsia="Times New Roman" w:hAnsi="Times New Roman" w:cs="Times New Roman"/>
          <w:sz w:val="30"/>
        </w:rPr>
      </w:pPr>
      <w:r>
        <w:rPr>
          <w:rFonts w:ascii="Times New Roman" w:eastAsia="Times New Roman" w:hAnsi="Times New Roman" w:cs="Times New Roman"/>
          <w:sz w:val="30"/>
        </w:rPr>
        <w:t>Tabele środków i kodów dodatkowych (z przypisami)</w:t>
      </w:r>
    </w:p>
    <w:tbl>
      <w:tblPr>
        <w:tblStyle w:val="TableNormal"/>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
      <w:tblGrid>
        <w:gridCol w:w="1248"/>
        <w:gridCol w:w="813"/>
        <w:gridCol w:w="9245"/>
        <w:gridCol w:w="945"/>
        <w:gridCol w:w="1112"/>
        <w:gridCol w:w="971"/>
        <w:gridCol w:w="613"/>
        <w:gridCol w:w="906"/>
        <w:gridCol w:w="776"/>
        <w:gridCol w:w="645"/>
        <w:gridCol w:w="986"/>
        <w:gridCol w:w="1352"/>
        <w:gridCol w:w="747"/>
        <w:gridCol w:w="542"/>
      </w:tblGrid>
      <w:tr>
        <w:tblPrEx>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Ex>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2</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3</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4</w:t>
            </w:r>
          </w:p>
        </w:tc>
        <w:tc>
          <w:tcP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5a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6</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7</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8</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9</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10</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11</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12</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13</w:t>
            </w:r>
          </w:p>
        </w:tc>
      </w:tr>
      <w:tr>
        <w:tblPrEx>
          <w:tblW w:w="5000" w:type="pct"/>
          <w:tblCellMar>
            <w:left w:w="108" w:type="dxa"/>
            <w:right w:w="108" w:type="dxa"/>
          </w:tblCellMar>
        </w:tblPrEx>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CN kod</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Kod Taric</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Opis</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Jednostka miary</w:t>
            </w:r>
          </w:p>
        </w:tc>
        <w:tc>
          <w:tcPr>
            <w:gridSpan w:val="2"/>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Ograniczenia</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Kod Taric</w:t>
            </w:r>
          </w:p>
        </w:tc>
        <w:tc>
          <w:tcPr>
            <w:vMerge w:val="restart"/>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Cło kraju trzeciego</w:t>
            </w:r>
          </w:p>
        </w:tc>
        <w:tc>
          <w:tcPr>
            <w:gridSpan w:val="4"/>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Stawki celne obniżone</w:t>
            </w:r>
          </w:p>
        </w:tc>
        <w:tc>
          <w:tcPr>
            <w:gridSpan w:val="2"/>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Podatki</w:t>
            </w:r>
          </w:p>
        </w:tc>
      </w:tr>
      <w:tr>
        <w:tblPrEx>
          <w:tblW w:w="5000" w:type="pct"/>
          <w:tblCellMar>
            <w:left w:w="108" w:type="dxa"/>
            <w:right w:w="108" w:type="dxa"/>
          </w:tblCellMar>
        </w:tblPrEx>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Przywóz</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vMerge/>
            <w:tcMar>
              <w:top w:w="0" w:type="dxa"/>
              <w:bottom w:w="0" w:type="dxa"/>
            </w:tcMar>
            <w:vAlign w:val="bottom"/>
          </w:tcPr>
          <w:p w:rsidR="00A77B3E">
            <w:pPr>
              <w:spacing w:before="0" w:after="0"/>
              <w:jc w:val="center"/>
              <w:rPr>
                <w:rFonts w:ascii="Times New Roman" w:eastAsia="Times New Roman" w:hAnsi="Times New Roman" w:cs="Times New Roman"/>
                <w:b w:val="0"/>
                <w:sz w:val="14"/>
              </w:rPr>
            </w:pP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GSP</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EEA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AD,SM,TR</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ABH(AL, BA, YU), FO, HR, IL, LOMAB(LOMA, LOMB), MCH(EG, JO, LB, SY), MGB(DZ, MA, TN), MK, MX, PS, XC, XL, ZA</w:t>
            </w:r>
          </w:p>
        </w:tc>
        <w:tc>
          <w:tcPr>
            <w:tcMar>
              <w:top w:w="0" w:type="dxa"/>
              <w:bottom w:w="0" w:type="dxa"/>
            </w:tcMar>
            <w:vAlign w:val="bottom"/>
          </w:tcPr>
          <w:p w:rsidR="00A77B3E">
            <w:pPr>
              <w:spacing w:before="0" w:after="0"/>
              <w:jc w:val="center"/>
              <w:rPr>
                <w:rFonts w:ascii="Times New Roman" w:eastAsia="Times New Roman" w:hAnsi="Times New Roman" w:cs="Times New Roman"/>
                <w:b w:val="0"/>
                <w:sz w:val="14"/>
              </w:rPr>
            </w:pPr>
            <w:r>
              <w:rPr>
                <w:rFonts w:ascii="Times New Roman" w:eastAsia="Times New Roman" w:hAnsi="Times New Roman" w:cs="Times New Roman"/>
                <w:b w:val="0"/>
                <w:sz w:val="14"/>
              </w:rPr>
              <w:t>Akcyza</w:t>
            </w:r>
          </w:p>
        </w:tc>
        <w:tc>
          <w:tcPr>
            <w:tcMar>
              <w:top w:w="0" w:type="dxa"/>
              <w:bottom w:w="0" w:type="dxa"/>
            </w:tcMar>
            <w:vAlign w:val="bottom"/>
          </w:tcPr>
          <w:p w:rsidR="00A77B3E">
            <w:pPr>
              <w:rPr>
                <w:rFonts w:ascii="Times New Roman" w:eastAsia="Times New Roman" w:hAnsi="Times New Roman" w:cs="Times New Roman"/>
                <w:b w:val="0"/>
                <w:sz w:val="14"/>
              </w:rPr>
            </w:pPr>
            <w:r>
              <w:rPr>
                <w:rFonts w:ascii="Times New Roman" w:eastAsia="Times New Roman" w:hAnsi="Times New Roman" w:cs="Times New Roman"/>
                <w:b w:val="0"/>
                <w:sz w:val="14"/>
              </w:rPr>
              <w:t>VAT</w:t>
            </w: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30000000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PRODUKTY FARMACEUTYCZNE</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30010000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2"/>
              </w:rPr>
            </w:pPr>
            <w:r>
              <w:rPr>
                <w:rFonts w:ascii="Times New Roman" w:eastAsia="Times New Roman" w:hAnsi="Times New Roman" w:cs="Times New Roman"/>
                <w:b/>
                <w:i w:val="0"/>
                <w:color w:val="000000"/>
                <w:sz w:val="18"/>
              </w:rPr>
              <w:t>Gruczoły i pozostałe narządy do celów organoterapeutycznych, suszone, nawet sproszkowane; ekstrakty z gruczołów lub pozostałych narządów lub ich wydzielin do celów organoterapeutycznych; heparyna i jej sole; pozostałe substancje ludzkie lub zwierzęce, preparowane do celów terapeutycznych lub profilaktycznych, gdzie indziej niewymienione ani niewłączone</w:t>
            </w:r>
            <w:r>
              <w:rPr>
                <w:rFonts w:ascii="Times New Roman" w:eastAsia="Times New Roman" w:hAnsi="Times New Roman" w:cs="Times New Roman"/>
                <w:b/>
                <w:i w:val="0"/>
                <w:color w:val="000000"/>
                <w:sz w:val="15"/>
              </w:rPr>
              <w:t xml:space="preserve"> </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15"/>
              </w:rPr>
              <w:t>TN701</w:t>
            </w:r>
            <w:r>
              <w:rPr>
                <w:rFonts w:ascii="Times New Roman" w:eastAsia="Times New Roman" w:hAnsi="Times New Roman" w:cs="Times New Roman"/>
                <w:b/>
                <w:i w:val="0"/>
                <w:color w:val="000000"/>
                <w:sz w:val="15"/>
              </w:rPr>
              <w:t>)</w:t>
            </w:r>
            <w:r>
              <w:rPr>
                <w:rFonts w:ascii="Times New Roman" w:eastAsia="Times New Roman" w:hAnsi="Times New Roman" w:cs="Times New Roman"/>
                <w:b/>
                <w:i w:val="0"/>
                <w:color w:val="000000"/>
                <w:sz w:val="2"/>
              </w:rPr>
              <w:t xml:space="preserve"> </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30012000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00/80</w:t>
            </w:r>
          </w:p>
        </w:tc>
        <w:tc>
          <w:tcPr/>
          <w:p w:rsidR="00A77B3E">
            <w:pPr>
              <w:spacing w:after="0"/>
              <w:jc w:val="left"/>
              <w:rPr>
                <w:rFonts w:ascii="Times New Roman" w:eastAsia="Times New Roman" w:hAnsi="Times New Roman" w:cs="Times New Roman"/>
                <w:b/>
                <w:i w:val="0"/>
                <w:color w:val="000000"/>
                <w:sz w:val="18"/>
              </w:rPr>
            </w:pPr>
            <w:r>
              <w:rPr>
                <w:rFonts w:ascii="Times New Roman" w:eastAsia="Times New Roman" w:hAnsi="Times New Roman" w:cs="Times New Roman"/>
                <w:b/>
                <w:i w:val="0"/>
                <w:color w:val="000000"/>
                <w:sz w:val="18"/>
              </w:rPr>
              <w:t>- Ekstrakty gruczołów lub pozostałych narządów lub ich wydzielin</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rPr>
                <w:rFonts w:ascii="Times New Roman" w:eastAsia="Times New Roman" w:hAnsi="Times New Roman" w:cs="Times New Roman"/>
                <w:b w:val="0"/>
                <w:i w:val="0"/>
                <w:color w:val="000000"/>
                <w:sz w:val="14"/>
              </w:rPr>
            </w:pPr>
          </w:p>
        </w:tc>
      </w:tr>
      <w:tr>
        <w:tblPrEx>
          <w:tblW w:w="5000" w:type="pct"/>
          <w:tblCellMar>
            <w:left w:w="108" w:type="dxa"/>
            <w:right w:w="108" w:type="dxa"/>
          </w:tblCellMar>
        </w:tblPrEx>
        <w:tc>
          <w:tcPr/>
          <w:p w:rsidR="00A77B3E">
            <w:pPr>
              <w:spacing w:after="0"/>
              <w:jc w:val="left"/>
              <w:rPr>
                <w:rFonts w:ascii="Times New Roman" w:eastAsia="Times New Roman" w:hAnsi="Times New Roman" w:cs="Times New Roman"/>
                <w:b w:val="0"/>
                <w:i w:val="0"/>
                <w:color w:val="000000"/>
                <w:sz w:val="18"/>
              </w:rPr>
            </w:pPr>
            <w:r>
              <w:rPr>
                <w:rFonts w:ascii="Times New Roman" w:eastAsia="Times New Roman" w:hAnsi="Times New Roman" w:cs="Times New Roman"/>
                <w:b w:val="0"/>
                <w:i w:val="0"/>
                <w:color w:val="000000"/>
                <w:sz w:val="18"/>
              </w:rPr>
              <w:t>30012010</w:t>
            </w:r>
          </w:p>
        </w:tc>
        <w:tc>
          <w:tcPr/>
          <w:p w:rsidR="00A77B3E">
            <w:pPr>
              <w:spacing w:after="0"/>
              <w:jc w:val="left"/>
              <w:rPr>
                <w:rFonts w:ascii="Times New Roman" w:eastAsia="Times New Roman" w:hAnsi="Times New Roman" w:cs="Times New Roman"/>
                <w:b w:val="0"/>
                <w:i w:val="0"/>
                <w:color w:val="000000"/>
                <w:sz w:val="18"/>
              </w:rPr>
            </w:pPr>
            <w:r>
              <w:rPr>
                <w:rFonts w:ascii="Times New Roman" w:eastAsia="Times New Roman" w:hAnsi="Times New Roman" w:cs="Times New Roman"/>
                <w:b w:val="0"/>
                <w:i w:val="0"/>
                <w:color w:val="000000"/>
                <w:sz w:val="18"/>
              </w:rPr>
              <w:t>00/80</w:t>
            </w:r>
          </w:p>
        </w:tc>
        <w:tc>
          <w:tcPr/>
          <w:p w:rsidR="00A77B3E">
            <w:pPr>
              <w:spacing w:after="0"/>
              <w:jc w:val="left"/>
              <w:rPr>
                <w:rFonts w:ascii="Times New Roman" w:eastAsia="Times New Roman" w:hAnsi="Times New Roman" w:cs="Times New Roman"/>
                <w:b w:val="0"/>
                <w:i w:val="0"/>
                <w:color w:val="000000"/>
                <w:sz w:val="18"/>
              </w:rPr>
            </w:pPr>
            <w:r>
              <w:rPr>
                <w:rFonts w:ascii="Times New Roman" w:eastAsia="Times New Roman" w:hAnsi="Times New Roman" w:cs="Times New Roman"/>
                <w:b w:val="0"/>
                <w:i w:val="0"/>
                <w:color w:val="000000"/>
                <w:sz w:val="18"/>
              </w:rPr>
              <w:t>-- Pochodzenia ludzkiego</w:t>
            </w: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p>
        </w:tc>
        <w:tc>
          <w:tcPr>
            <w:tcMar>
              <w:top w:w="0" w:type="dxa"/>
              <w:bottom w:w="0" w:type="dxa"/>
            </w:tcMar>
          </w:tcPr>
          <w:p w:rsidR="00A77B3E">
            <w:pPr>
              <w:spacing w:after="0"/>
              <w:jc w:val="center"/>
              <w:rPr>
                <w:rFonts w:ascii="Times New Roman" w:eastAsia="Times New Roman" w:hAnsi="Times New Roman" w:cs="Times New Roman"/>
                <w:b w:val="0"/>
                <w:i w:val="0"/>
                <w:color w:val="000000"/>
                <w:sz w:val="14"/>
              </w:rPr>
            </w:pPr>
            <w:r>
              <w:rPr>
                <w:rFonts w:ascii="Times New Roman" w:eastAsia="Times New Roman" w:hAnsi="Times New Roman" w:cs="Times New Roman"/>
                <w:b w:val="0"/>
                <w:i w:val="0"/>
                <w:color w:val="000000"/>
                <w:sz w:val="14"/>
              </w:rPr>
              <w:t>APPL</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 xml:space="preserve"> 0%</w:t>
            </w:r>
          </w:p>
        </w:tc>
        <w:tc>
          <w:tcPr>
            <w:tcMar>
              <w:top w:w="0" w:type="dxa"/>
              <w:bottom w:w="0" w:type="dxa"/>
            </w:tcMar>
          </w:tcPr>
          <w:p w:rsidR="00A77B3E">
            <w:pPr>
              <w:spacing w:after="0"/>
              <w:jc w:val="center"/>
              <w:rPr>
                <w:rFonts w:ascii="Times New Roman" w:eastAsia="Times New Roman" w:hAnsi="Times New Roman" w:cs="Times New Roman"/>
                <w:b w:val="0"/>
                <w:i w:val="0"/>
                <w:color w:val="000000"/>
                <w:sz w:val="2"/>
              </w:rPr>
            </w:pPr>
            <w:r>
              <w:rPr>
                <w:rFonts w:ascii="Times New Roman" w:eastAsia="Times New Roman" w:hAnsi="Times New Roman" w:cs="Times New Roman"/>
                <w:b/>
                <w:i w:val="0"/>
                <w:color w:val="000000"/>
                <w:sz w:val="14"/>
              </w:rPr>
              <w:t>SWITZ</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PREF</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 xml:space="preserve"> 0%</w:t>
            </w:r>
            <w:r>
              <w:rPr>
                <w:rFonts w:ascii="Times New Roman" w:eastAsia="Times New Roman" w:hAnsi="Times New Roman" w:cs="Times New Roman"/>
                <w:b w:val="0"/>
                <w:i w:val="0"/>
                <w:color w:val="000000"/>
                <w:sz w:val="14"/>
              </w:rPr>
              <w:t xml:space="preserve"> </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14"/>
              </w:rPr>
              <w:t>CD500</w:t>
            </w:r>
            <w:r>
              <w:rPr>
                <w:rFonts w:ascii="Times New Roman" w:eastAsia="Times New Roman" w:hAnsi="Times New Roman" w:cs="Times New Roman"/>
                <w:b w:val="0"/>
                <w:i w:val="0"/>
                <w:color w:val="000000"/>
                <w:sz w:val="14"/>
              </w:rPr>
              <w:t>)</w:t>
            </w:r>
            <w:r>
              <w:rPr>
                <w:rFonts w:ascii="Times New Roman" w:eastAsia="Times New Roman" w:hAnsi="Times New Roman" w:cs="Times New Roman"/>
                <w:b w:val="0"/>
                <w:i w:val="0"/>
                <w:color w:val="000000"/>
                <w:sz w:val="2"/>
              </w:rPr>
              <w:t xml:space="preserve"> </w:t>
            </w:r>
          </w:p>
        </w:tc>
        <w:tc>
          <w:tcPr>
            <w:tcMar>
              <w:top w:w="0" w:type="dxa"/>
              <w:bottom w:w="0" w:type="dxa"/>
            </w:tcMar>
          </w:tcPr>
          <w:p>
            <w:pPr>
              <w:spacing w:after="0"/>
              <w:jc w:val="center"/>
              <w:rPr>
                <w:b w:val="0"/>
                <w:i w:val="0"/>
                <w:color w:val="000000"/>
                <w:sz w:val="14"/>
              </w:rPr>
            </w:pPr>
            <w:r w:rsidR="00A77B3E">
              <w:rPr>
                <w:rFonts w:ascii="Times New Roman" w:eastAsia="Times New Roman" w:hAnsi="Times New Roman" w:cs="Times New Roman"/>
                <w:b/>
                <w:i w:val="0"/>
                <w:color w:val="000000"/>
                <w:sz w:val="14"/>
              </w:rPr>
              <w:t>AD</w:t>
            </w:r>
            <w:r w:rsidR="00A77B3E">
              <w:rPr>
                <w:rFonts w:ascii="Times New Roman" w:eastAsia="Times New Roman" w:hAnsi="Times New Roman" w:cs="Times New Roman"/>
                <w:b w:val="0"/>
                <w:i w:val="0"/>
                <w:color w:val="000000"/>
                <w:sz w:val="14"/>
              </w:rPr>
              <w:t>,</w:t>
            </w:r>
            <w:r w:rsidR="00A77B3E">
              <w:rPr>
                <w:rFonts w:ascii="Times New Roman" w:eastAsia="Times New Roman" w:hAnsi="Times New Roman" w:cs="Times New Roman"/>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30012090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SEAL</w:t>
            </w:r>
            <w:r>
              <w:rPr>
                <w:b w:val="0"/>
                <w:i w:val="0"/>
                <w:color w:val="000000"/>
                <w:sz w:val="14"/>
              </w:rPr>
              <w:t xml:space="preserve"> </w:t>
            </w:r>
            <w:r>
              <w:rPr>
                <w:b w:val="0"/>
                <w:i w:val="0"/>
                <w:color w:val="000000"/>
                <w:sz w:val="14"/>
              </w:rPr>
              <w:t>(</w:t>
            </w:r>
            <w:r>
              <w:rPr>
                <w:b w:val="0"/>
                <w:i w:val="0"/>
                <w:color w:val="000000"/>
                <w:sz w:val="14"/>
              </w:rPr>
              <w:t>CD603</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30019000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30019020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Pochodzenia ludzkiego</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p09</w:t>
            </w:r>
          </w:p>
        </w:tc>
        <w:tc>
          <w:tcPr/>
          <w:p>
            <w:pPr>
              <w:spacing w:after="0"/>
              <w:jc w:val="center"/>
              <w:rPr>
                <w:b w:val="0"/>
                <w:i w:val="0"/>
                <w:color w:val="000000"/>
                <w:sz w:val="14"/>
              </w:rPr>
            </w:pPr>
            <w:r>
              <w:rPr>
                <w:b w:val="0"/>
                <w:i w:val="0"/>
                <w:color w:val="000000"/>
                <w:sz w:val="14"/>
              </w:rPr>
              <w:t>p03</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30019091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30019091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Heparyna i jej sole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p>
        </w:tc>
        <w:tc>
          <w:tcPr/>
          <w:p>
            <w:pPr>
              <w:spacing w:after="0"/>
              <w:jc w:val="center"/>
              <w:rPr>
                <w:b w:val="0"/>
                <w:i w:val="0"/>
                <w:color w:val="000000"/>
                <w:sz w:val="2"/>
              </w:rPr>
            </w:pP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30019098</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CD686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CD637</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SEAL</w:t>
            </w:r>
            <w:r>
              <w:rPr>
                <w:b w:val="0"/>
                <w:i w:val="0"/>
                <w:color w:val="000000"/>
                <w:sz w:val="14"/>
              </w:rPr>
              <w:t xml:space="preserve"> </w:t>
            </w:r>
            <w:r>
              <w:rPr>
                <w:b w:val="0"/>
                <w:i w:val="0"/>
                <w:color w:val="000000"/>
                <w:sz w:val="14"/>
              </w:rPr>
              <w:t>(</w:t>
            </w:r>
            <w:r>
              <w:rPr>
                <w:b w:val="0"/>
                <w:i w:val="0"/>
                <w:color w:val="000000"/>
                <w:sz w:val="14"/>
              </w:rPr>
              <w:t>CD603</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Krew ludzka; krew zwierzęca preparowana do celów terapeutycznych, profilaktycznych lub diagnostycznych; antysurowice, pozostałe frakcje krwi i produkty immunologiczne, nawet modyfikowane lub otrzymywane w procesach biotechnologicznych; szczepionki, toksyny, hodowle mikroorganizmów (z wyłączeniem drożdży) oraz podobne produkty</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Antysurowice, pozostałe frakcje krwi i produkty immunologiczne, nawet modyfikowane lub otrzymywane w procesach biotechnologicznych</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Testowe zestawy diagnostyczne malarii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p>
        </w:tc>
        <w:tc>
          <w:tcPr/>
          <w:p>
            <w:pPr>
              <w:spacing w:after="0"/>
              <w:jc w:val="center"/>
              <w:rPr>
                <w:b w:val="0"/>
                <w:i w:val="0"/>
                <w:color w:val="000000"/>
                <w:sz w:val="2"/>
              </w:rPr>
            </w:pP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Antysurowice i pozostałe frakcje krwi</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30021300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Produkty immunologiczne, niezmieszane, niepakowane w odmierzone dawki ani do postaci lub w opakowania do sprzedaży detalicznej</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30021400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Produkty immunologiczne, zmieszane, niepakowane w odmierzone dawki ani do postaci lub w opakowania do sprzedaży detalicznej</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30021500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Produkty immunologiczne, pakowane w odmierzone dawki lub do postaci, lub w opakowania do sprzedaży detalicznej</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30021900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Szczepionki stosowane w medycynie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Szczepionki stosowane w weterynarii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30029000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30029010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Krew ludzka</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30029030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Krew zwierzęca przygotowana do stosowania terapeutycznego, profilaktycznego lub diagnostycznego</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30029050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Hodowle mikroorganizmów</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30029050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Patogeny i ich hodowle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30029050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MILIM</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MILEX</w:t>
            </w:r>
            <w:r>
              <w:rPr>
                <w:b w:val="0"/>
                <w:i w:val="0"/>
                <w:color w:val="000000"/>
                <w:sz w:val="14"/>
              </w:rPr>
              <w:t>-</w:t>
            </w:r>
            <w:r>
              <w:rPr>
                <w:b/>
                <w:i w:val="0"/>
                <w:color w:val="000000"/>
                <w:sz w:val="14"/>
              </w:rPr>
              <w:t>KP</w:t>
            </w:r>
            <w:r>
              <w:rPr>
                <w:b w:val="0"/>
                <w:i w:val="0"/>
                <w:color w:val="000000"/>
                <w:sz w:val="14"/>
              </w:rPr>
              <w:t xml:space="preserve"> </w:t>
            </w:r>
            <w:r>
              <w:rPr>
                <w:b w:val="0"/>
                <w:i w:val="0"/>
                <w:color w:val="000000"/>
                <w:sz w:val="14"/>
              </w:rPr>
              <w:t>(</w:t>
            </w:r>
            <w:r>
              <w:rPr>
                <w:b w:val="0"/>
                <w:i w:val="0"/>
                <w:color w:val="000000"/>
                <w:sz w:val="14"/>
              </w:rPr>
              <w:t>CD994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MILEX</w:t>
            </w:r>
            <w:r>
              <w:rPr>
                <w:b w:val="0"/>
                <w:i w:val="0"/>
                <w:color w:val="000000"/>
                <w:sz w:val="14"/>
              </w:rPr>
              <w:t>-</w:t>
            </w:r>
            <w:r>
              <w:rPr>
                <w:b/>
                <w:i w:val="0"/>
                <w:color w:val="000000"/>
                <w:sz w:val="14"/>
              </w:rPr>
              <w:t>SY</w:t>
            </w:r>
            <w:r>
              <w:rPr>
                <w:b w:val="0"/>
                <w:i w:val="0"/>
                <w:color w:val="000000"/>
                <w:sz w:val="14"/>
              </w:rPr>
              <w:t xml:space="preserve"> </w:t>
            </w:r>
            <w:r>
              <w:rPr>
                <w:b w:val="0"/>
                <w:i w:val="0"/>
                <w:color w:val="000000"/>
                <w:sz w:val="14"/>
              </w:rPr>
              <w:t>(</w:t>
            </w:r>
            <w:r>
              <w:rPr>
                <w:b w:val="0"/>
                <w:i w:val="0"/>
                <w:color w:val="000000"/>
                <w:sz w:val="14"/>
              </w:rPr>
              <w:t>CD635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CD995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TM799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30029090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30029090</w:t>
            </w:r>
          </w:p>
        </w:tc>
        <w:tc>
          <w:tcPr/>
          <w:p>
            <w:pPr>
              <w:spacing w:after="0"/>
              <w:jc w:val="left"/>
              <w:rPr>
                <w:b w:val="0"/>
                <w:i/>
                <w:color w:val="000000"/>
                <w:sz w:val="18"/>
              </w:rPr>
            </w:pPr>
            <w:r>
              <w:rPr>
                <w:b w:val="0"/>
                <w:i/>
                <w:color w:val="000000"/>
                <w:sz w:val="18"/>
              </w:rPr>
              <w:t>10/80</w:t>
            </w:r>
          </w:p>
        </w:tc>
        <w:tc>
          <w:tcPr/>
          <w:p>
            <w:pPr>
              <w:spacing w:after="0"/>
              <w:jc w:val="left"/>
              <w:rPr>
                <w:b w:val="0"/>
                <w:i/>
                <w:color w:val="000000"/>
                <w:sz w:val="18"/>
              </w:rPr>
            </w:pPr>
            <w:r>
              <w:rPr>
                <w:b w:val="0"/>
                <w:i/>
                <w:color w:val="000000"/>
                <w:sz w:val="18"/>
              </w:rPr>
              <w:t>--- Patogeny i ich hodowle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color w:val="000000"/>
                <w:sz w:val="18"/>
              </w:rPr>
            </w:pPr>
            <w:r>
              <w:rPr>
                <w:b w:val="0"/>
                <w:i/>
                <w:color w:val="000000"/>
                <w:sz w:val="18"/>
              </w:rPr>
              <w:t>30029090</w:t>
            </w:r>
          </w:p>
        </w:tc>
        <w:tc>
          <w:tcPr/>
          <w:p>
            <w:pPr>
              <w:spacing w:after="0"/>
              <w:jc w:val="left"/>
              <w:rPr>
                <w:b w:val="0"/>
                <w:i/>
                <w:color w:val="000000"/>
                <w:sz w:val="18"/>
              </w:rPr>
            </w:pPr>
            <w:r>
              <w:rPr>
                <w:b w:val="0"/>
                <w:i/>
                <w:color w:val="000000"/>
                <w:sz w:val="18"/>
              </w:rPr>
              <w:t>90/80</w:t>
            </w:r>
          </w:p>
        </w:tc>
        <w:tc>
          <w:tcPr/>
          <w:p>
            <w:pPr>
              <w:spacing w:after="0"/>
              <w:jc w:val="left"/>
              <w:rPr>
                <w:b w:val="0"/>
                <w:i/>
                <w:color w:val="000000"/>
                <w:sz w:val="18"/>
              </w:rPr>
            </w:pPr>
            <w:r>
              <w:rPr>
                <w:b w:val="0"/>
                <w:i/>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MILIM</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RX</w:t>
            </w:r>
            <w:r>
              <w:rPr>
                <w:b w:val="0"/>
                <w:i w:val="0"/>
                <w:color w:val="000000"/>
                <w:sz w:val="14"/>
              </w:rPr>
              <w:t>-</w:t>
            </w:r>
            <w:r>
              <w:rPr>
                <w:b/>
                <w:i w:val="0"/>
                <w:color w:val="000000"/>
                <w:sz w:val="14"/>
              </w:rPr>
              <w:t>IR</w:t>
            </w:r>
            <w:r>
              <w:rPr>
                <w:b w:val="0"/>
                <w:i w:val="0"/>
                <w:color w:val="000000"/>
                <w:sz w:val="14"/>
              </w:rPr>
              <w:t xml:space="preserve"> </w:t>
            </w:r>
            <w:r>
              <w:rPr>
                <w:b w:val="0"/>
                <w:i w:val="0"/>
                <w:color w:val="000000"/>
                <w:sz w:val="14"/>
              </w:rPr>
              <w:t>(</w:t>
            </w:r>
            <w:r>
              <w:rPr>
                <w:b w:val="0"/>
                <w:i w:val="0"/>
                <w:color w:val="000000"/>
                <w:sz w:val="14"/>
              </w:rPr>
              <w:t>CD971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MG655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CD985</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DURX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CD464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DU091</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DU066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Leki (z wyłączeniem produktów objętych pozycją 3002, 3005 lub 3006) złożone z dwóch lub więcej składników, które zostały zmieszane razem do użytku terapeutycznego lub profilaktycznego, niepakowane do sprzedaży detalicznej w odmierzone dawki lub w postacie, lub w opakowania</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penicyliny lub ich pochodne, ze strukturą kwasu penicylanowego lub streptomycyny, lub ich pochodne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zawierające antybiotyki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30033100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zawierające hormony lub inne produkty objęte pozycją 2937</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30033100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insulinę</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30033900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30034100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zawierające alkaloidy lub ich pochodne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30034100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efedrynę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SPX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30034200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pseudoefedrynę (INN)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SPX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30034300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norefedrynę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30034900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zawierające antymalaryczne substancje czynne opisane w uwadze 2 do podpozycji do niniejszego działu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30039000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TRRX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CD789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TR015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TR014</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Leki (z wyłączeniem produktów objętych pozycją 3002, 3005 lub 3006) złożone z produktów zmieszanych lub niezmieszanych do celów terapeutycznych lub profilaktycznych, pakowane w odmierzone dawki (włącznie z lekami podawanymi przez skórę) lub do postaci, lub w opakowania do sprzedaży detalicznej</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penicyliny lub ich pochodne, ze strukturą kwasu penicylanowego lub streptomycyny, lub ich pochodne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zawierające antybiotyki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30043100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zawierające hormony lub inne produkty objęte pozycją 2937</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30043100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insulinę</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30043200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hormony kory nadnercza, ich pochodne lub analogi strukturalne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CD593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OZ006</w:t>
            </w:r>
            <w:r>
              <w:rPr>
                <w:b w:val="0"/>
                <w:i w:val="0"/>
                <w:color w:val="000000"/>
                <w:sz w:val="14"/>
              </w:rPr>
              <w:t>)</w:t>
            </w:r>
            <w:r>
              <w:rPr>
                <w:b w:val="0"/>
                <w:i w:val="0"/>
                <w:color w:val="000000"/>
                <w:sz w:val="2"/>
              </w:rPr>
              <w:t xml:space="preserve"> </w:t>
            </w:r>
          </w:p>
        </w:tc>
        <w:tc>
          <w:tcPr/>
          <w:p>
            <w:pPr>
              <w:spacing w:after="0"/>
              <w:jc w:val="center"/>
              <w:rPr>
                <w:b w:val="0"/>
                <w:i w:val="0"/>
                <w:color w:val="000000"/>
                <w:sz w:val="2"/>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30043900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CD593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OZ006</w:t>
            </w:r>
            <w:r>
              <w:rPr>
                <w:b w:val="0"/>
                <w:i w:val="0"/>
                <w:color w:val="000000"/>
                <w:sz w:val="14"/>
              </w:rPr>
              <w:t>)</w:t>
            </w:r>
            <w:r>
              <w:rPr>
                <w:b w:val="0"/>
                <w:i w:val="0"/>
                <w:color w:val="000000"/>
                <w:sz w:val="2"/>
              </w:rPr>
              <w:t xml:space="preserve"> </w:t>
            </w:r>
          </w:p>
        </w:tc>
        <w:tc>
          <w:tcPr/>
          <w:p>
            <w:pPr>
              <w:spacing w:after="0"/>
              <w:jc w:val="center"/>
              <w:rPr>
                <w:b w:val="0"/>
                <w:i w:val="0"/>
                <w:color w:val="000000"/>
                <w:sz w:val="2"/>
              </w:rPr>
            </w:pP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30044100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 zawierające alkaloidy lub ich pochodne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30044100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efedrynę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SPX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30044200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pseudoefedrynę (INN)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2"/>
              </w:rPr>
            </w:pPr>
            <w:r>
              <w:rPr>
                <w:b w:val="0"/>
                <w:i w:val="0"/>
                <w:color w:val="000000"/>
                <w:sz w:val="14"/>
              </w:rPr>
              <w:t>SPX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CD259</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30044300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Zawierające norefedrynę lub jej sole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30044900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zawierające witaminy lub inne produkty objęte pozycją 2936</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 zawierające antymalaryczne substancje czynne opisane w uwadze 2 do podpozycji do niniejszego działu</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30049000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LPR</w:t>
            </w:r>
            <w:r>
              <w:rPr>
                <w:b w:val="0"/>
                <w:i w:val="0"/>
                <w:color w:val="000000"/>
                <w:sz w:val="14"/>
              </w:rPr>
              <w:t xml:space="preserve"> </w:t>
            </w:r>
            <w:r>
              <w:rPr>
                <w:b w:val="0"/>
                <w:i w:val="0"/>
                <w:color w:val="000000"/>
                <w:sz w:val="14"/>
              </w:rPr>
              <w:t>(</w:t>
            </w:r>
            <w:r>
              <w:rPr>
                <w:b w:val="0"/>
                <w:i w:val="0"/>
                <w:color w:val="000000"/>
                <w:sz w:val="14"/>
              </w:rPr>
              <w:t>CD593</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OZ006</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CITESimp</w:t>
            </w:r>
            <w:r>
              <w:rPr>
                <w:b w:val="0"/>
                <w:i w:val="0"/>
                <w:color w:val="000000"/>
                <w:sz w:val="14"/>
              </w:rPr>
              <w:t xml:space="preserve"> </w:t>
            </w:r>
            <w:r>
              <w:rPr>
                <w:b w:val="0"/>
                <w:i w:val="0"/>
                <w:color w:val="000000"/>
                <w:sz w:val="14"/>
              </w:rPr>
              <w:t>(</w:t>
            </w:r>
            <w:r>
              <w:rPr>
                <w:b w:val="0"/>
                <w:i w:val="0"/>
                <w:color w:val="000000"/>
                <w:sz w:val="14"/>
              </w:rPr>
              <w:t>CD370</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SEAL</w:t>
            </w:r>
            <w:r>
              <w:rPr>
                <w:b w:val="0"/>
                <w:i w:val="0"/>
                <w:color w:val="000000"/>
                <w:sz w:val="14"/>
              </w:rPr>
              <w:t xml:space="preserve"> </w:t>
            </w:r>
            <w:r>
              <w:rPr>
                <w:b w:val="0"/>
                <w:i w:val="0"/>
                <w:color w:val="000000"/>
                <w:sz w:val="14"/>
              </w:rPr>
              <w:t>(</w:t>
            </w:r>
            <w:r>
              <w:rPr>
                <w:b w:val="0"/>
                <w:i w:val="0"/>
                <w:color w:val="000000"/>
                <w:sz w:val="14"/>
              </w:rPr>
              <w:t>CD603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TRRX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CD789</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TR015</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TR014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CITESex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CD371</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OZEXP</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CD592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OZ006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30050000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Wata, gaza, bandaże i podobne artykuły (na przykład opatrunki, plastry przylepne, kataplazmy) impregnowane lub pokryte substancjami farmaceutycznymi lub pakowane do postaci, lub w opakowania do sprzedaży detalicznej, do celów medycznych, chirurgicznych, dentystycznych lub weterynaryjnych</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30051000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Opatrunki przylepne i pozostałe artykuły posiadające warstwę przylepną</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30059000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Wata i artykuły z waty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30059031</w:t>
            </w:r>
          </w:p>
        </w:tc>
        <w:tc>
          <w:tcPr/>
          <w:p>
            <w:pPr>
              <w:spacing w:after="0"/>
              <w:jc w:val="left"/>
              <w:rPr>
                <w:b w:val="0"/>
                <w:i w:val="0"/>
                <w:color w:val="000000"/>
                <w:sz w:val="18"/>
              </w:rPr>
            </w:pPr>
            <w:r>
              <w:rPr>
                <w:b w:val="0"/>
                <w:i w:val="0"/>
                <w:color w:val="000000"/>
                <w:sz w:val="18"/>
              </w:rPr>
              <w:t>00/10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30059031</w:t>
            </w:r>
          </w:p>
        </w:tc>
        <w:tc>
          <w:tcPr/>
          <w:p>
            <w:pPr>
              <w:spacing w:after="0"/>
              <w:jc w:val="left"/>
              <w:rPr>
                <w:b w:val="0"/>
                <w:i w:val="0"/>
                <w:color w:val="000000"/>
                <w:sz w:val="18"/>
              </w:rPr>
            </w:pPr>
            <w:r>
              <w:rPr>
                <w:b w:val="0"/>
                <w:i w:val="0"/>
                <w:color w:val="000000"/>
                <w:sz w:val="18"/>
              </w:rPr>
              <w:t>00/20</w:t>
            </w:r>
          </w:p>
        </w:tc>
        <w:tc>
          <w:tcPr/>
          <w:p>
            <w:pPr>
              <w:spacing w:after="0"/>
              <w:jc w:val="left"/>
              <w:rPr>
                <w:b w:val="0"/>
                <w:i w:val="0"/>
                <w:color w:val="000000"/>
                <w:sz w:val="18"/>
              </w:rPr>
            </w:pPr>
            <w:r>
              <w:rPr>
                <w:b w:val="0"/>
                <w:i w:val="0"/>
                <w:color w:val="000000"/>
                <w:sz w:val="18"/>
              </w:rPr>
              <w:t>--- Z materiałów włókienniczych</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30059031</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2"/>
              </w:rPr>
            </w:pPr>
            <w:r>
              <w:rPr>
                <w:b w:val="0"/>
                <w:i w:val="0"/>
                <w:color w:val="000000"/>
                <w:sz w:val="18"/>
              </w:rPr>
              <w:t>---- Gaza i artykuły z gazy</w:t>
            </w:r>
            <w:r>
              <w:rPr>
                <w:b w:val="0"/>
                <w:i w:val="0"/>
                <w:color w:val="000000"/>
                <w:sz w:val="18"/>
              </w:rPr>
              <w:t>(</w:t>
            </w:r>
            <w:r>
              <w:rPr>
                <w:b w:val="0"/>
                <w:i w:val="0"/>
                <w:color w:val="000000"/>
                <w:sz w:val="18"/>
              </w:rPr>
              <w:t>TEXT163</w:t>
            </w:r>
            <w:r>
              <w:rPr>
                <w:b w:val="0"/>
                <w:i w:val="0"/>
                <w:color w:val="000000"/>
                <w:sz w:val="18"/>
              </w:rPr>
              <w:t>)</w:t>
            </w:r>
            <w:r>
              <w:rPr>
                <w:b w:val="0"/>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30059050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30059099</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30060000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2"/>
              </w:rPr>
            </w:pPr>
            <w:r>
              <w:rPr>
                <w:b/>
                <w:i w:val="0"/>
                <w:color w:val="000000"/>
                <w:sz w:val="18"/>
              </w:rPr>
              <w:t>Produkty farmaceutyczne wymienione w uwadze 4 do niniejszego działu</w:t>
            </w:r>
            <w:r>
              <w:rPr>
                <w:b/>
                <w:i w:val="0"/>
                <w:color w:val="000000"/>
                <w:sz w:val="15"/>
              </w:rPr>
              <w:t xml:space="preserve"> </w:t>
            </w:r>
            <w:r>
              <w:rPr>
                <w:b/>
                <w:i w:val="0"/>
                <w:color w:val="000000"/>
                <w:sz w:val="15"/>
              </w:rPr>
              <w:t>(</w:t>
            </w:r>
            <w:r>
              <w:rPr>
                <w:b/>
                <w:i w:val="0"/>
                <w:color w:val="000000"/>
                <w:sz w:val="15"/>
              </w:rPr>
              <w:t>TN701</w:t>
            </w:r>
            <w:r>
              <w:rPr>
                <w:b/>
                <w:i w:val="0"/>
                <w:color w:val="000000"/>
                <w:sz w:val="15"/>
              </w:rPr>
              <w:t>)</w:t>
            </w:r>
            <w:r>
              <w:rPr>
                <w:b/>
                <w:i w:val="0"/>
                <w:color w:val="000000"/>
                <w:sz w:val="2"/>
              </w:rPr>
              <w:t xml:space="preserve"> </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30061000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Sterylny katgut chirurgiczny, podobne sterylne materiały do zszywania chirurgicznego (włącznie ze sterylnymi wchłanialnymi nićmi chirurgicznymi lub dentystycznymi) oraz sterylne materiały przylepne do chirurgicznego zamykania ran; sterylna laminaria (listownica) i sterylne tampony z laminarii; sterylne absorpcyjne chirurgiczne lub dentystyczne środki tamujące krwawienie; sterylne chirurgiczne lub dentystyczne środki zapobiegające powstawaniu zrostów, nawet absorpcyjne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30061010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Sterylny katgut chirurgiczny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30061030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Sterylne chirurgiczne lub dentystyczne środki zapobiegające powstawaniu zrostów, nawet absorpcyjne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val="0"/>
                <w:i w:val="0"/>
                <w:color w:val="000000"/>
                <w:sz w:val="18"/>
              </w:rPr>
            </w:pPr>
            <w:r>
              <w:rPr>
                <w:b w:val="0"/>
                <w:i w:val="0"/>
                <w:color w:val="000000"/>
                <w:sz w:val="18"/>
              </w:rPr>
              <w:t>30061090</w:t>
            </w:r>
          </w:p>
        </w:tc>
        <w:tc>
          <w:tcPr/>
          <w:p>
            <w:pPr>
              <w:spacing w:after="0"/>
              <w:jc w:val="left"/>
              <w:rPr>
                <w:b w:val="0"/>
                <w:i w:val="0"/>
                <w:color w:val="000000"/>
                <w:sz w:val="18"/>
              </w:rPr>
            </w:pPr>
            <w:r>
              <w:rPr>
                <w:b w:val="0"/>
                <w:i w:val="0"/>
                <w:color w:val="000000"/>
                <w:sz w:val="18"/>
              </w:rPr>
              <w:t>00/80</w:t>
            </w:r>
          </w:p>
        </w:tc>
        <w:tc>
          <w:tcPr/>
          <w:p>
            <w:pPr>
              <w:spacing w:after="0"/>
              <w:jc w:val="left"/>
              <w:rPr>
                <w:b w:val="0"/>
                <w:i w:val="0"/>
                <w:color w:val="000000"/>
                <w:sz w:val="18"/>
              </w:rPr>
            </w:pPr>
            <w:r>
              <w:rPr>
                <w:b w:val="0"/>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30062000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Odczynniki do oznaczania grupy krwi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30063000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Preparaty kontrastowe do badań rentgenowskich; odczynniki diagnostyczne przeznaczone do podawania pacjentom</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30064000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Cementy dentystyczne i inne wypełnienia; cementy do rekonstrukcji kości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30065000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Apteczki podręczne i zestawy pierwszej pomocy</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val="0"/>
                <w:i w:val="0"/>
                <w:color w:val="000000"/>
                <w:sz w:val="14"/>
              </w:rPr>
              <w:t>SUSSH</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TM510</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EU003</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AIRWO</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CD333</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30066000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Chemiczne preparaty antykoncepcyjne na bazie hormonów, na bazie pozostałych produktów objętych pozycją 2937 lub na bazie środków plemnikobójczych</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30067000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Preparaty żelowe przeznaczone do stosowania w medycynie lub weterynarii jako środki do smarowania części ciała podczas operacji chirurgicznych lub do badań lekarskich, lub jako środki poprawiające kontakt pomiędzy ciałem i instrumentami medycznymi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30069100</w:t>
            </w:r>
          </w:p>
        </w:tc>
        <w:tc>
          <w:tcPr/>
          <w:p>
            <w:pPr>
              <w:spacing w:after="0"/>
              <w:jc w:val="left"/>
              <w:rPr>
                <w:b/>
                <w:i w:val="0"/>
                <w:color w:val="000000"/>
                <w:sz w:val="18"/>
              </w:rPr>
            </w:pPr>
            <w:r>
              <w:rPr>
                <w:b/>
                <w:i w:val="0"/>
                <w:color w:val="000000"/>
                <w:sz w:val="18"/>
              </w:rPr>
              <w:t>00/10</w:t>
            </w:r>
          </w:p>
        </w:tc>
        <w:tc>
          <w:tcPr/>
          <w:p>
            <w:pPr>
              <w:spacing w:after="0"/>
              <w:jc w:val="left"/>
              <w:rPr>
                <w:b/>
                <w:i w:val="0"/>
                <w:color w:val="000000"/>
                <w:sz w:val="18"/>
              </w:rPr>
            </w:pPr>
            <w:r>
              <w:rPr>
                <w:b/>
                <w:i w:val="0"/>
                <w:color w:val="000000"/>
                <w:sz w:val="18"/>
              </w:rPr>
              <w:t>- Pozostałe</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rPr>
                <w:b w:val="0"/>
                <w:i w:val="0"/>
                <w:color w:val="000000"/>
                <w:sz w:val="14"/>
              </w:rPr>
            </w:pP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30069100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Wyroby identyfikowalne jako stosowane do stomii</w:t>
            </w:r>
          </w:p>
        </w:tc>
        <w:tc>
          <w:tcPr/>
          <w:p>
            <w:pPr>
              <w:spacing w:after="0"/>
              <w:jc w:val="center"/>
              <w:rPr>
                <w:b w:val="0"/>
                <w:i w:val="0"/>
                <w:color w:val="000000"/>
                <w:sz w:val="14"/>
              </w:rPr>
            </w:pPr>
          </w:p>
        </w:tc>
        <w:tc>
          <w:tcPr/>
          <w:p>
            <w:pPr>
              <w:spacing w:after="0"/>
              <w:jc w:val="center"/>
              <w:rPr>
                <w:b w:val="0"/>
                <w:i w:val="0"/>
                <w:color w:val="000000"/>
                <w:sz w:val="14"/>
              </w:rPr>
            </w:pPr>
          </w:p>
        </w:tc>
        <w:tc>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i w:val="0"/>
                <w:color w:val="000000"/>
                <w:sz w:val="14"/>
              </w:rPr>
              <w:t>AL</w:t>
            </w:r>
            <w:r>
              <w:rPr>
                <w:b w:val="0"/>
                <w:i w:val="0"/>
                <w:color w:val="000000"/>
                <w:sz w:val="14"/>
              </w:rPr>
              <w:t>,</w:t>
            </w:r>
            <w:r>
              <w:rPr>
                <w:b w:val="0"/>
                <w:i w:val="0"/>
                <w:color w:val="000000"/>
                <w:sz w:val="2"/>
              </w:rPr>
              <w:t xml:space="preserve"> </w:t>
            </w:r>
            <w:r>
              <w:rPr>
                <w:b/>
                <w:i w:val="0"/>
                <w:color w:val="000000"/>
                <w:sz w:val="14"/>
              </w:rPr>
              <w:t>BA</w:t>
            </w:r>
            <w:r>
              <w:rPr>
                <w:b w:val="0"/>
                <w:i w:val="0"/>
                <w:color w:val="000000"/>
                <w:sz w:val="14"/>
              </w:rPr>
              <w:t>,</w:t>
            </w:r>
            <w:r>
              <w:rPr>
                <w:b w:val="0"/>
                <w:i w:val="0"/>
                <w:color w:val="000000"/>
                <w:sz w:val="2"/>
              </w:rPr>
              <w:t xml:space="preserve"> </w:t>
            </w:r>
            <w:r>
              <w:rPr>
                <w:b/>
                <w:i w:val="0"/>
                <w:color w:val="000000"/>
                <w:sz w:val="14"/>
              </w:rPr>
              <w:t>ME</w:t>
            </w:r>
            <w:r>
              <w:rPr>
                <w:b w:val="0"/>
                <w:i w:val="0"/>
                <w:color w:val="000000"/>
                <w:sz w:val="14"/>
              </w:rPr>
              <w:t>,</w:t>
            </w:r>
            <w:r>
              <w:rPr>
                <w:b w:val="0"/>
                <w:i w:val="0"/>
                <w:color w:val="000000"/>
                <w:sz w:val="2"/>
              </w:rPr>
              <w:t xml:space="preserve"> </w:t>
            </w:r>
            <w:r>
              <w:rPr>
                <w:b/>
                <w:i w:val="0"/>
                <w:color w:val="000000"/>
                <w:sz w:val="14"/>
              </w:rPr>
              <w:t>XK</w:t>
            </w:r>
            <w:r>
              <w:rPr>
                <w:b w:val="0"/>
                <w:i w:val="0"/>
                <w:color w:val="000000"/>
                <w:sz w:val="14"/>
              </w:rPr>
              <w:t>,</w:t>
            </w:r>
            <w:r>
              <w:rPr>
                <w:b w:val="0"/>
                <w:i w:val="0"/>
                <w:color w:val="000000"/>
                <w:sz w:val="2"/>
              </w:rPr>
              <w:t xml:space="preserve"> </w:t>
            </w:r>
            <w:r>
              <w:rPr>
                <w:b/>
                <w:i w:val="0"/>
                <w:color w:val="000000"/>
                <w:sz w:val="14"/>
              </w:rPr>
              <w:t>XS</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MK</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rPr>
                <w:b w:val="0"/>
                <w:i w:val="0"/>
                <w:color w:val="000000"/>
                <w:sz w:val="14"/>
              </w:rPr>
            </w:pPr>
            <w:r>
              <w:rPr>
                <w:b w:val="0"/>
                <w:i w:val="0"/>
                <w:color w:val="000000"/>
                <w:sz w:val="14"/>
              </w:rPr>
              <w:t>A</w:t>
            </w:r>
          </w:p>
        </w:tc>
      </w:tr>
      <w:tr>
        <w:tblPrEx>
          <w:tblW w:w="5000" w:type="pct"/>
          <w:tblCellMar>
            <w:left w:w="108" w:type="dxa"/>
            <w:right w:w="108" w:type="dxa"/>
          </w:tblCellMar>
        </w:tblPrEx>
        <w:tc>
          <w:tcPr/>
          <w:p>
            <w:pPr>
              <w:spacing w:after="0"/>
              <w:jc w:val="left"/>
              <w:rPr>
                <w:b/>
                <w:i w:val="0"/>
                <w:color w:val="000000"/>
                <w:sz w:val="18"/>
              </w:rPr>
            </w:pPr>
            <w:r>
              <w:rPr>
                <w:b/>
                <w:i w:val="0"/>
                <w:color w:val="000000"/>
                <w:sz w:val="18"/>
              </w:rPr>
              <w:t>30069200</w:t>
            </w:r>
          </w:p>
        </w:tc>
        <w:tc>
          <w:tcPr/>
          <w:p>
            <w:pPr>
              <w:spacing w:after="0"/>
              <w:jc w:val="left"/>
              <w:rPr>
                <w:b/>
                <w:i w:val="0"/>
                <w:color w:val="000000"/>
                <w:sz w:val="18"/>
              </w:rPr>
            </w:pPr>
            <w:r>
              <w:rPr>
                <w:b/>
                <w:i w:val="0"/>
                <w:color w:val="000000"/>
                <w:sz w:val="18"/>
              </w:rPr>
              <w:t>00/80</w:t>
            </w:r>
          </w:p>
        </w:tc>
        <w:tc>
          <w:tcPr/>
          <w:p>
            <w:pPr>
              <w:spacing w:after="0"/>
              <w:jc w:val="left"/>
              <w:rPr>
                <w:b/>
                <w:i w:val="0"/>
                <w:color w:val="000000"/>
                <w:sz w:val="18"/>
              </w:rPr>
            </w:pPr>
            <w:r>
              <w:rPr>
                <w:b/>
                <w:i w:val="0"/>
                <w:color w:val="000000"/>
                <w:sz w:val="18"/>
              </w:rPr>
              <w:t>-- Odpady farmaceutyczne</w:t>
            </w:r>
          </w:p>
        </w:tc>
        <w:tc>
          <w:tcPr/>
          <w:p>
            <w:pPr>
              <w:spacing w:after="0"/>
              <w:jc w:val="center"/>
              <w:rPr>
                <w:b w:val="0"/>
                <w:i w:val="0"/>
                <w:color w:val="000000"/>
                <w:sz w:val="14"/>
              </w:rPr>
            </w:pPr>
          </w:p>
        </w:tc>
        <w:tc>
          <w:tcPr/>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ALLTC</w:t>
            </w:r>
            <w:r>
              <w:rPr>
                <w:b w:val="0"/>
                <w:i w:val="0"/>
                <w:color w:val="000000"/>
                <w:sz w:val="14"/>
              </w:rPr>
              <w:t xml:space="preserve"> (excl </w:t>
            </w:r>
            <w:r>
              <w:rPr>
                <w:b/>
                <w:i w:val="0"/>
                <w:color w:val="000000"/>
                <w:sz w:val="14"/>
              </w:rPr>
              <w:t>AD</w:t>
            </w:r>
            <w:r>
              <w:rPr>
                <w:b w:val="0"/>
                <w:i w:val="0"/>
                <w:color w:val="000000"/>
                <w:sz w:val="14"/>
              </w:rPr>
              <w:t>,</w:t>
            </w:r>
            <w:r>
              <w:rPr>
                <w:b w:val="0"/>
                <w:i w:val="0"/>
                <w:color w:val="000000"/>
                <w:sz w:val="2"/>
              </w:rPr>
              <w:t xml:space="preserve"> </w:t>
            </w:r>
            <w:r>
              <w:rPr>
                <w:b/>
                <w:i w:val="0"/>
                <w:color w:val="000000"/>
                <w:sz w:val="14"/>
              </w:rPr>
              <w:t>CH</w:t>
            </w:r>
            <w:r>
              <w:rPr>
                <w:b w:val="0"/>
                <w:i w:val="0"/>
                <w:color w:val="000000"/>
                <w:sz w:val="14"/>
              </w:rPr>
              <w:t>,</w:t>
            </w:r>
            <w:r>
              <w:rPr>
                <w:b w:val="0"/>
                <w:i w:val="0"/>
                <w:color w:val="000000"/>
                <w:sz w:val="2"/>
              </w:rPr>
              <w:t xml:space="preserve"> </w:t>
            </w:r>
            <w:r>
              <w:rPr>
                <w:b/>
                <w:i w:val="0"/>
                <w:color w:val="000000"/>
                <w:sz w:val="14"/>
              </w:rPr>
              <w:t>IS</w:t>
            </w:r>
            <w:r>
              <w:rPr>
                <w:b w:val="0"/>
                <w:i w:val="0"/>
                <w:color w:val="000000"/>
                <w:sz w:val="14"/>
              </w:rPr>
              <w:t>,</w:t>
            </w:r>
            <w:r>
              <w:rPr>
                <w:b w:val="0"/>
                <w:i w:val="0"/>
                <w:color w:val="000000"/>
                <w:sz w:val="2"/>
              </w:rPr>
              <w:t xml:space="preserve"> </w:t>
            </w:r>
            <w:r>
              <w:rPr>
                <w:b/>
                <w:i w:val="0"/>
                <w:color w:val="000000"/>
                <w:sz w:val="14"/>
              </w:rPr>
              <w:t>LI</w:t>
            </w:r>
            <w:r>
              <w:rPr>
                <w:b w:val="0"/>
                <w:i w:val="0"/>
                <w:color w:val="000000"/>
                <w:sz w:val="14"/>
              </w:rPr>
              <w:t>,</w:t>
            </w:r>
            <w:r>
              <w:rPr>
                <w:b w:val="0"/>
                <w:i w:val="0"/>
                <w:color w:val="000000"/>
                <w:sz w:val="2"/>
              </w:rPr>
              <w:t xml:space="preserve"> </w:t>
            </w:r>
            <w:r>
              <w:rPr>
                <w:b/>
                <w:i w:val="0"/>
                <w:color w:val="000000"/>
                <w:sz w:val="14"/>
              </w:rPr>
              <w:t>NO</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14"/>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14"/>
              </w:rPr>
            </w:pPr>
            <w:r>
              <w:rPr>
                <w:b w:val="0"/>
                <w:i w:val="0"/>
                <w:color w:val="000000"/>
                <w:sz w:val="14"/>
              </w:rPr>
              <w:t>VETCTR</w:t>
            </w:r>
            <w:r>
              <w:rPr>
                <w:b w:val="0"/>
                <w:i w:val="0"/>
                <w:color w:val="000000"/>
                <w:sz w:val="14"/>
              </w:rPr>
              <w:t>-</w:t>
            </w:r>
            <w:r>
              <w:rPr>
                <w:b/>
                <w:i w:val="0"/>
                <w:color w:val="000000"/>
                <w:sz w:val="14"/>
              </w:rPr>
              <w:t>EU</w:t>
            </w:r>
            <w:r>
              <w:rPr>
                <w:b w:val="0"/>
                <w:i w:val="0"/>
                <w:color w:val="000000"/>
                <w:sz w:val="14"/>
              </w:rPr>
              <w:t xml:space="preserve"> </w:t>
            </w:r>
            <w:r>
              <w:rPr>
                <w:b w:val="0"/>
                <w:i w:val="0"/>
                <w:color w:val="000000"/>
                <w:sz w:val="14"/>
              </w:rPr>
              <w:t>(</w:t>
            </w:r>
            <w:r>
              <w:rPr>
                <w:b w:val="0"/>
                <w:i w:val="0"/>
                <w:color w:val="000000"/>
                <w:sz w:val="14"/>
              </w:rPr>
              <w:t>CD644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CD624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WSTIM</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CD573</w:t>
            </w:r>
            <w:r>
              <w:rPr>
                <w:b w:val="0"/>
                <w:i w:val="0"/>
                <w:color w:val="000000"/>
                <w:sz w:val="14"/>
              </w:rPr>
              <w:t>)</w:t>
            </w:r>
            <w:r>
              <w:rPr>
                <w:b w:val="0"/>
                <w:i w:val="0"/>
                <w:color w:val="000000"/>
                <w:sz w:val="2"/>
              </w:rPr>
              <w:t xml:space="preserve"> </w:t>
            </w:r>
          </w:p>
        </w:tc>
        <w:tc>
          <w:tcPr/>
          <w:p>
            <w:pPr>
              <w:spacing w:after="0"/>
              <w:jc w:val="center"/>
              <w:rPr>
                <w:b w:val="0"/>
                <w:i w:val="0"/>
                <w:color w:val="000000"/>
                <w:sz w:val="14"/>
              </w:rPr>
            </w:pPr>
            <w:r>
              <w:rPr>
                <w:b w:val="0"/>
                <w:i w:val="0"/>
                <w:color w:val="000000"/>
                <w:sz w:val="14"/>
              </w:rPr>
              <w:t>WSTEX</w:t>
            </w:r>
            <w:r>
              <w:rPr>
                <w:b w:val="0"/>
                <w:i w:val="0"/>
                <w:color w:val="000000"/>
                <w:sz w:val="14"/>
              </w:rPr>
              <w:t>-</w:t>
            </w:r>
            <w:r>
              <w:rPr>
                <w:b/>
                <w:i w:val="0"/>
                <w:color w:val="000000"/>
                <w:sz w:val="14"/>
              </w:rPr>
              <w:t>1014</w:t>
            </w:r>
            <w:r>
              <w:rPr>
                <w:b w:val="0"/>
                <w:i w:val="0"/>
                <w:color w:val="000000"/>
                <w:sz w:val="14"/>
              </w:rPr>
              <w:t xml:space="preserve"> </w:t>
            </w:r>
            <w:r>
              <w:rPr>
                <w:b w:val="0"/>
                <w:i w:val="0"/>
                <w:color w:val="000000"/>
                <w:sz w:val="14"/>
              </w:rPr>
              <w:t>(</w:t>
            </w:r>
            <w:r>
              <w:rPr>
                <w:b w:val="0"/>
                <w:i w:val="0"/>
                <w:color w:val="000000"/>
                <w:sz w:val="14"/>
              </w:rPr>
              <w:t>CD572</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CD577</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r>
              <w:rPr>
                <w:b w:val="0"/>
                <w:i w:val="0"/>
                <w:color w:val="000000"/>
                <w:sz w:val="14"/>
              </w:rPr>
              <w:t>(</w:t>
            </w:r>
            <w:r>
              <w:rPr>
                <w:b w:val="0"/>
                <w:i w:val="0"/>
                <w:color w:val="000000"/>
                <w:sz w:val="14"/>
              </w:rPr>
              <w:t>CD574</w:t>
            </w:r>
            <w:r>
              <w:rPr>
                <w:b w:val="0"/>
                <w:i w:val="0"/>
                <w:color w:val="000000"/>
                <w:sz w:val="14"/>
              </w:rPr>
              <w:t>)</w:t>
            </w:r>
            <w:r>
              <w:rPr>
                <w:b w:val="0"/>
                <w:i w:val="0"/>
                <w:color w:val="000000"/>
                <w:sz w:val="2"/>
              </w:rPr>
              <w:t xml:space="preserve"> </w:t>
            </w:r>
            <w:r>
              <w:rPr>
                <w:b w:val="0"/>
                <w:i w:val="0"/>
                <w:color w:val="000000"/>
                <w:sz w:val="14"/>
              </w:rPr>
              <w:t xml:space="preserve">; </w:t>
            </w:r>
          </w:p>
          <w:p>
            <w:pPr>
              <w:spacing w:after="0"/>
              <w:jc w:val="center"/>
              <w:rPr>
                <w:b w:val="0"/>
                <w:i w:val="0"/>
                <w:color w:val="000000"/>
                <w:sz w:val="2"/>
              </w:rPr>
            </w:pPr>
            <w:r>
              <w:rPr>
                <w:b w:val="0"/>
                <w:i w:val="0"/>
                <w:color w:val="000000"/>
                <w:sz w:val="14"/>
              </w:rPr>
              <w:t>WSTEX</w:t>
            </w:r>
            <w:r>
              <w:rPr>
                <w:b w:val="0"/>
                <w:i w:val="0"/>
                <w:color w:val="000000"/>
                <w:sz w:val="14"/>
              </w:rPr>
              <w:t>-</w:t>
            </w:r>
            <w:r>
              <w:rPr>
                <w:b/>
                <w:i w:val="0"/>
                <w:color w:val="000000"/>
                <w:sz w:val="14"/>
              </w:rPr>
              <w:t>ALLTC</w:t>
            </w:r>
            <w:r>
              <w:rPr>
                <w:b w:val="0"/>
                <w:i w:val="0"/>
                <w:color w:val="000000"/>
                <w:sz w:val="14"/>
              </w:rPr>
              <w:t xml:space="preserve"> </w:t>
            </w:r>
            <w:r>
              <w:rPr>
                <w:b w:val="0"/>
                <w:i w:val="0"/>
                <w:color w:val="000000"/>
                <w:sz w:val="14"/>
              </w:rPr>
              <w:t>(</w:t>
            </w:r>
            <w:r>
              <w:rPr>
                <w:b w:val="0"/>
                <w:i w:val="0"/>
                <w:color w:val="000000"/>
                <w:sz w:val="14"/>
              </w:rPr>
              <w:t>CD576</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2"/>
              </w:rPr>
            </w:pPr>
          </w:p>
        </w:tc>
        <w:tc>
          <w:tcPr>
            <w:tcMar>
              <w:top w:w="0" w:type="dxa"/>
              <w:bottom w:w="0" w:type="dxa"/>
            </w:tcMar>
          </w:tcPr>
          <w:p>
            <w:pPr>
              <w:spacing w:after="0"/>
              <w:jc w:val="center"/>
              <w:rPr>
                <w:b w:val="0"/>
                <w:i w:val="0"/>
                <w:color w:val="000000"/>
                <w:sz w:val="14"/>
              </w:rPr>
            </w:pPr>
            <w:r>
              <w:rPr>
                <w:b w:val="0"/>
                <w:i w:val="0"/>
                <w:color w:val="000000"/>
                <w:sz w:val="14"/>
              </w:rPr>
              <w:t>APPL</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2"/>
              </w:rPr>
            </w:pPr>
            <w:r>
              <w:rPr>
                <w:b/>
                <w:i w:val="0"/>
                <w:color w:val="000000"/>
                <w:sz w:val="14"/>
              </w:rPr>
              <w:t>SWITZ</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r>
              <w:rPr>
                <w:b w:val="0"/>
                <w:i w:val="0"/>
                <w:color w:val="000000"/>
                <w:sz w:val="14"/>
              </w:rPr>
              <w:t xml:space="preserve"> </w:t>
            </w:r>
            <w:r>
              <w:rPr>
                <w:b w:val="0"/>
                <w:i w:val="0"/>
                <w:color w:val="000000"/>
                <w:sz w:val="14"/>
              </w:rPr>
              <w:t>(</w:t>
            </w:r>
            <w:r>
              <w:rPr>
                <w:b w:val="0"/>
                <w:i w:val="0"/>
                <w:color w:val="000000"/>
                <w:sz w:val="14"/>
              </w:rPr>
              <w:t>CD500</w:t>
            </w:r>
            <w:r>
              <w:rPr>
                <w:b w:val="0"/>
                <w:i w:val="0"/>
                <w:color w:val="000000"/>
                <w:sz w:val="14"/>
              </w:rPr>
              <w:t>)</w:t>
            </w:r>
            <w:r>
              <w:rPr>
                <w:b w:val="0"/>
                <w:i w:val="0"/>
                <w:color w:val="000000"/>
                <w:sz w:val="2"/>
              </w:rPr>
              <w:t xml:space="preserve"> </w:t>
            </w:r>
          </w:p>
        </w:tc>
        <w:tc>
          <w:tcPr>
            <w:tcMar>
              <w:top w:w="0" w:type="dxa"/>
              <w:bottom w:w="0" w:type="dxa"/>
            </w:tcMar>
          </w:tcPr>
          <w:p>
            <w:pPr>
              <w:spacing w:after="0"/>
              <w:jc w:val="center"/>
              <w:rPr>
                <w:b w:val="0"/>
                <w:i w:val="0"/>
                <w:color w:val="000000"/>
                <w:sz w:val="14"/>
              </w:rPr>
            </w:pPr>
            <w:r>
              <w:rPr>
                <w:b/>
                <w:i w:val="0"/>
                <w:color w:val="000000"/>
                <w:sz w:val="14"/>
              </w:rPr>
              <w:t>AD</w:t>
            </w:r>
            <w:r>
              <w:rPr>
                <w:b w:val="0"/>
                <w:i w:val="0"/>
                <w:color w:val="000000"/>
                <w:sz w:val="14"/>
              </w:rPr>
              <w:t>,</w:t>
            </w:r>
            <w:r>
              <w:rPr>
                <w:b w:val="0"/>
                <w:i w:val="0"/>
                <w:color w:val="000000"/>
                <w:sz w:val="2"/>
              </w:rPr>
              <w:t xml:space="preserve"> </w:t>
            </w:r>
            <w:r>
              <w:rPr>
                <w:b/>
                <w:i w:val="0"/>
                <w:color w:val="000000"/>
                <w:sz w:val="14"/>
              </w:rPr>
              <w:t>SM</w:t>
            </w:r>
            <w:r>
              <w:rPr>
                <w:b w:val="0"/>
                <w:i w:val="0"/>
                <w:color w:val="000000"/>
                <w:sz w:val="14"/>
              </w:rPr>
              <w:t>,</w:t>
            </w:r>
            <w:r>
              <w:rPr>
                <w:b w:val="0"/>
                <w:i w:val="0"/>
                <w:color w:val="000000"/>
                <w:sz w:val="2"/>
              </w:rPr>
              <w:t xml:space="preserve"> </w:t>
            </w:r>
            <w:r>
              <w:rPr>
                <w:b/>
                <w:i w:val="0"/>
                <w:color w:val="000000"/>
                <w:sz w:val="14"/>
              </w:rPr>
              <w:t>TR</w:t>
            </w:r>
            <w:r>
              <w:rPr>
                <w:b w:val="0"/>
                <w:i w:val="0"/>
                <w:color w:val="000000"/>
                <w:sz w:val="14"/>
              </w:rPr>
              <w:t>-</w:t>
            </w:r>
            <w:r>
              <w:rPr>
                <w:b w:val="0"/>
                <w:i w:val="0"/>
                <w:color w:val="000000"/>
                <w:sz w:val="14"/>
              </w:rPr>
              <w:t>CUD</w:t>
            </w:r>
            <w:r>
              <w:rPr>
                <w:b w:val="0"/>
                <w:i w:val="0"/>
                <w:color w:val="000000"/>
                <w:sz w:val="14"/>
              </w:rPr>
              <w:t xml:space="preserve">: </w:t>
            </w:r>
            <w:r>
              <w:rPr>
                <w:b w:val="0"/>
                <w:i w:val="0"/>
                <w:color w:val="000000"/>
                <w:sz w:val="14"/>
              </w:rPr>
              <w:t xml:space="preserve"> 0%</w:t>
            </w:r>
            <w:r>
              <w:rPr>
                <w:b w:val="0"/>
                <w:i w:val="0"/>
                <w:color w:val="000000"/>
                <w:sz w:val="14"/>
              </w:rPr>
              <w:t xml:space="preserve">; </w:t>
            </w:r>
          </w:p>
          <w:p>
            <w:pPr>
              <w:spacing w:after="0"/>
              <w:jc w:val="center"/>
              <w:rPr>
                <w:b w:val="0"/>
                <w:i w:val="0"/>
                <w:color w:val="000000"/>
                <w:sz w:val="14"/>
              </w:rPr>
            </w:pPr>
            <w:r>
              <w:rPr>
                <w:b/>
                <w:i w:val="0"/>
                <w:color w:val="000000"/>
                <w:sz w:val="14"/>
              </w:rPr>
              <w:t>CH</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p>
        </w:tc>
        <w:tc>
          <w:tcPr>
            <w:tcMar>
              <w:top w:w="0" w:type="dxa"/>
              <w:bottom w:w="0" w:type="dxa"/>
            </w:tcMar>
          </w:tcPr>
          <w:p>
            <w:pPr>
              <w:spacing w:after="0"/>
              <w:jc w:val="center"/>
              <w:rPr>
                <w:b w:val="0"/>
                <w:i w:val="0"/>
                <w:color w:val="000000"/>
                <w:sz w:val="14"/>
              </w:rPr>
            </w:pPr>
            <w:r>
              <w:rPr>
                <w:b/>
                <w:i w:val="0"/>
                <w:color w:val="000000"/>
                <w:sz w:val="14"/>
              </w:rPr>
              <w:t>DZ</w:t>
            </w:r>
            <w:r>
              <w:rPr>
                <w:b w:val="0"/>
                <w:i w:val="0"/>
                <w:color w:val="000000"/>
                <w:sz w:val="14"/>
              </w:rPr>
              <w:t>,</w:t>
            </w:r>
            <w:r>
              <w:rPr>
                <w:b w:val="0"/>
                <w:i w:val="0"/>
                <w:color w:val="000000"/>
                <w:sz w:val="2"/>
              </w:rPr>
              <w:t xml:space="preserve"> </w:t>
            </w:r>
            <w:r>
              <w:rPr>
                <w:b/>
                <w:i w:val="0"/>
                <w:color w:val="000000"/>
                <w:sz w:val="14"/>
              </w:rPr>
              <w:t>FO</w:t>
            </w:r>
            <w:r>
              <w:rPr>
                <w:b w:val="0"/>
                <w:i w:val="0"/>
                <w:color w:val="000000"/>
                <w:sz w:val="14"/>
              </w:rPr>
              <w:t>,</w:t>
            </w:r>
            <w:r>
              <w:rPr>
                <w:b w:val="0"/>
                <w:i w:val="0"/>
                <w:color w:val="000000"/>
                <w:sz w:val="2"/>
              </w:rPr>
              <w:t xml:space="preserve"> </w:t>
            </w:r>
            <w:r>
              <w:rPr>
                <w:b/>
                <w:i w:val="0"/>
                <w:color w:val="000000"/>
                <w:sz w:val="14"/>
              </w:rPr>
              <w:t>IL</w:t>
            </w:r>
            <w:r>
              <w:rPr>
                <w:b w:val="0"/>
                <w:i w:val="0"/>
                <w:color w:val="000000"/>
                <w:sz w:val="14"/>
              </w:rPr>
              <w:t>,</w:t>
            </w:r>
            <w:r>
              <w:rPr>
                <w:b w:val="0"/>
                <w:i w:val="0"/>
                <w:color w:val="000000"/>
                <w:sz w:val="2"/>
              </w:rPr>
              <w:t xml:space="preserve"> </w:t>
            </w:r>
            <w:r>
              <w:rPr>
                <w:b/>
                <w:i w:val="0"/>
                <w:color w:val="000000"/>
                <w:sz w:val="14"/>
              </w:rPr>
              <w:t>JO</w:t>
            </w:r>
            <w:r>
              <w:rPr>
                <w:b w:val="0"/>
                <w:i w:val="0"/>
                <w:color w:val="000000"/>
                <w:sz w:val="14"/>
              </w:rPr>
              <w:t>,</w:t>
            </w:r>
            <w:r>
              <w:rPr>
                <w:b w:val="0"/>
                <w:i w:val="0"/>
                <w:color w:val="000000"/>
                <w:sz w:val="2"/>
              </w:rPr>
              <w:t xml:space="preserve"> </w:t>
            </w:r>
            <w:r>
              <w:rPr>
                <w:b/>
                <w:i w:val="0"/>
                <w:color w:val="000000"/>
                <w:sz w:val="14"/>
              </w:rPr>
              <w:t>LB</w:t>
            </w:r>
            <w:r>
              <w:rPr>
                <w:b w:val="0"/>
                <w:i w:val="0"/>
                <w:color w:val="000000"/>
                <w:sz w:val="14"/>
              </w:rPr>
              <w:t>,</w:t>
            </w:r>
            <w:r>
              <w:rPr>
                <w:b w:val="0"/>
                <w:i w:val="0"/>
                <w:color w:val="000000"/>
                <w:sz w:val="2"/>
              </w:rPr>
              <w:t xml:space="preserve"> </w:t>
            </w:r>
            <w:r>
              <w:rPr>
                <w:b/>
                <w:i w:val="0"/>
                <w:color w:val="000000"/>
                <w:sz w:val="14"/>
              </w:rPr>
              <w:t>LOMB</w:t>
            </w:r>
            <w:r>
              <w:rPr>
                <w:b w:val="0"/>
                <w:i w:val="0"/>
                <w:color w:val="000000"/>
                <w:sz w:val="14"/>
              </w:rPr>
              <w:t>,</w:t>
            </w:r>
            <w:r>
              <w:rPr>
                <w:b w:val="0"/>
                <w:i w:val="0"/>
                <w:color w:val="000000"/>
                <w:sz w:val="2"/>
              </w:rPr>
              <w:t xml:space="preserve"> </w:t>
            </w:r>
            <w:r>
              <w:rPr>
                <w:b/>
                <w:i w:val="0"/>
                <w:color w:val="000000"/>
                <w:sz w:val="14"/>
              </w:rPr>
              <w:t>MA</w:t>
            </w:r>
            <w:r>
              <w:rPr>
                <w:b w:val="0"/>
                <w:i w:val="0"/>
                <w:color w:val="000000"/>
                <w:sz w:val="14"/>
              </w:rPr>
              <w:t>,</w:t>
            </w:r>
            <w:r>
              <w:rPr>
                <w:b w:val="0"/>
                <w:i w:val="0"/>
                <w:color w:val="000000"/>
                <w:sz w:val="2"/>
              </w:rPr>
              <w:t xml:space="preserve"> </w:t>
            </w:r>
            <w:r>
              <w:rPr>
                <w:b/>
                <w:i w:val="0"/>
                <w:color w:val="000000"/>
                <w:sz w:val="14"/>
              </w:rPr>
              <w:t>SY</w:t>
            </w:r>
            <w:r>
              <w:rPr>
                <w:b w:val="0"/>
                <w:i w:val="0"/>
                <w:color w:val="000000"/>
                <w:sz w:val="14"/>
              </w:rPr>
              <w:t>,</w:t>
            </w:r>
            <w:r>
              <w:rPr>
                <w:b w:val="0"/>
                <w:i w:val="0"/>
                <w:color w:val="000000"/>
                <w:sz w:val="2"/>
              </w:rPr>
              <w:t xml:space="preserve"> </w:t>
            </w:r>
            <w:r>
              <w:rPr>
                <w:b/>
                <w:i w:val="0"/>
                <w:color w:val="000000"/>
                <w:sz w:val="14"/>
              </w:rPr>
              <w:t>TN</w:t>
            </w:r>
            <w:r>
              <w:rPr>
                <w:b w:val="0"/>
                <w:i w:val="0"/>
                <w:color w:val="000000"/>
                <w:sz w:val="14"/>
              </w:rPr>
              <w:t>,</w:t>
            </w:r>
            <w:r>
              <w:rPr>
                <w:b w:val="0"/>
                <w:i w:val="0"/>
                <w:color w:val="000000"/>
                <w:sz w:val="2"/>
              </w:rPr>
              <w:t xml:space="preserve"> </w:t>
            </w:r>
            <w:r>
              <w:rPr>
                <w:b/>
                <w:i w:val="0"/>
                <w:color w:val="000000"/>
                <w:sz w:val="14"/>
              </w:rPr>
              <w:t>XC</w:t>
            </w:r>
            <w:r>
              <w:rPr>
                <w:b w:val="0"/>
                <w:i w:val="0"/>
                <w:color w:val="000000"/>
                <w:sz w:val="14"/>
              </w:rPr>
              <w:t>,</w:t>
            </w:r>
            <w:r>
              <w:rPr>
                <w:b w:val="0"/>
                <w:i w:val="0"/>
                <w:color w:val="000000"/>
                <w:sz w:val="2"/>
              </w:rPr>
              <w:t xml:space="preserve"> </w:t>
            </w:r>
            <w:r>
              <w:rPr>
                <w:b/>
                <w:i w:val="0"/>
                <w:color w:val="000000"/>
                <w:sz w:val="14"/>
              </w:rPr>
              <w:t>XL</w:t>
            </w:r>
            <w:r>
              <w:rPr>
                <w:b w:val="0"/>
                <w:i w:val="0"/>
                <w:color w:val="000000"/>
                <w:sz w:val="14"/>
              </w:rPr>
              <w:t>-</w:t>
            </w:r>
            <w:r>
              <w:rPr>
                <w:b w:val="0"/>
                <w:i w:val="0"/>
                <w:color w:val="000000"/>
                <w:sz w:val="14"/>
              </w:rPr>
              <w:t>PREF</w:t>
            </w:r>
            <w:r>
              <w:rPr>
                <w:b w:val="0"/>
                <w:i w:val="0"/>
                <w:color w:val="000000"/>
                <w:sz w:val="14"/>
              </w:rPr>
              <w:t xml:space="preserve">: </w:t>
            </w:r>
            <w:r>
              <w:rPr>
                <w:b w:val="0"/>
                <w:i w:val="0"/>
                <w:color w:val="000000"/>
                <w:sz w:val="14"/>
              </w:rPr>
              <w:t xml:space="preserve"> 0%</w:t>
            </w:r>
          </w:p>
        </w:tc>
        <w:tc>
          <w:tcPr>
            <w:tcMar>
              <w:top w:w="0" w:type="dxa"/>
              <w:bottom w:w="0" w:type="dxa"/>
            </w:tcMar>
          </w:tcPr>
          <w:p>
            <w:pPr>
              <w:spacing w:after="0"/>
              <w:jc w:val="center"/>
              <w:rPr>
                <w:b w:val="0"/>
                <w:i w:val="0"/>
                <w:color w:val="000000"/>
                <w:sz w:val="14"/>
              </w:rPr>
            </w:pPr>
            <w:r>
              <w:rPr>
                <w:b w:val="0"/>
                <w:i w:val="0"/>
                <w:color w:val="000000"/>
                <w:sz w:val="14"/>
              </w:rPr>
              <w:t>AACC</w:t>
            </w:r>
          </w:p>
        </w:tc>
        <w:tc>
          <w:tcPr>
            <w:tcMar>
              <w:top w:w="0" w:type="dxa"/>
              <w:bottom w:w="0" w:type="dxa"/>
            </w:tcMar>
          </w:tcPr>
          <w:p>
            <w:pPr>
              <w:spacing w:after="0"/>
              <w:jc w:val="center"/>
              <w:rPr>
                <w:b w:val="0"/>
                <w:i w:val="0"/>
                <w:color w:val="000000"/>
                <w:sz w:val="14"/>
              </w:rPr>
            </w:pPr>
            <w:r>
              <w:rPr>
                <w:b w:val="0"/>
                <w:i w:val="0"/>
                <w:color w:val="000000"/>
                <w:sz w:val="14"/>
              </w:rPr>
              <w:t>A</w:t>
            </w:r>
          </w:p>
        </w:tc>
      </w:tr>
    </w:tbl>
    <w:p w:rsidR="00A77B3E">
      <w:pPr>
        <w:spacing w:before="0" w:after="0"/>
        <w:jc w:val="center"/>
        <w:rPr>
          <w:rFonts w:ascii="Times New Roman" w:eastAsia="Times New Roman" w:hAnsi="Times New Roman" w:cs="Times New Roman"/>
          <w:sz w:val="30"/>
        </w:rPr>
      </w:pPr>
    </w:p>
    <w:tbl>
      <w:tblPr>
        <w:tblStyle w:val="TableNormal"/>
        <w:tblW w:w="5000" w:type="pct"/>
        <w:tblCellMar>
          <w:left w:w="108" w:type="dxa"/>
          <w:right w:w="108" w:type="dxa"/>
        </w:tblCellMar>
      </w:tblPr>
      <w:tblGrid>
        <w:gridCol w:w="893"/>
        <w:gridCol w:w="20038"/>
      </w:tblGrid>
      <w:tr>
        <w:tblPrEx>
          <w:tblW w:w="5000" w:type="pct"/>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val="0"/>
                <w:sz w:val="15"/>
              </w:rPr>
            </w:pPr>
            <w:r>
              <w:rPr>
                <w:rFonts w:ascii="Times New Roman" w:eastAsia="Times New Roman" w:hAnsi="Times New Roman" w:cs="Times New Roman"/>
                <w:b w:val="0"/>
                <w:sz w:val="15"/>
              </w:rPr>
              <w:t>(CD259)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"Zezwolenie eksportowe" i "Szczególne wymagania eksportowe" - zob.art. 12-19 Rozporządzenia (WE) nr 111/2005 (Dz.U. nr L 22) oraz akt wykonawczy Rozporządzenie (WE) nr 2015/1011 (Dz.U. nr L 162)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(CD333)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Zawieszenie opłat celnych w związku ze zdatnością do lotu jest uwarunkowane przedstawieniem świadectwa zdatności do lotu lub deklaracji fakturowej lub dokumentu dołączonego w charakterze załącznika do niej/niego (Rozp. (WE) nr 1147/2002, Dz. U. nr L170/2002).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(CD370)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wyrób jest wymieniony w liście załączonej do Rozporządzenia (WE) nr 338/97 z późniejszymi zmianami, autoryzacja przywozu (importu) musi być przedstawiona.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(CD371)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wyrób jest wymieniony w liście załączonej do Rozporządzenia (WE) nr 338/97 z późniejszymi zmianami, autoryzacja wywozu (eksportu) musi być przedstawiona.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(CD464)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zgłaszane towary są wymienione w przypisie oznaczonym symbolem "DU" dołączonym do środka, należy przedłożyć pozwolenie na wywóz zgodnie z rozporządzeniem (WE) 428/2009 wraz z późniejszym zmianami.</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(CD500)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Stosowanie tej preferencji uzależnia się od przedstawienia dowodu pochodzenia stwierdzającego wspólnotowe pochodzenie towarów, w kontekście umowy między Unia Europejska a Konfederacją Szwajcarską</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o których mowa w art. 3 ust. 1 rozporządzenia (WE) nr 1013/2006, podlegają procedurze uprzedniego pisemnego zgłoszenia i zgody.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o których mowa w art. 3 ust. 2 rozporządzenia (WE) nr 1013/2006 podlegają wymogowi dopełnienia ogólnych obowiązków w zakresie informowania, ustanowionych w art. 18 tego rozporządzenia, jeżeli ilość przemieszczanych odpadów przekracza 20 kg.</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odpady wymienione w załączniku III („zielony” wykaz odpadów) wykazują pewne niebezpieczne właściwości, zastosowanie mają przepisy dotyczące odpadów wymienionych w załączniku IV („bursztynowy” wykaz odpadów). Zob. art. 3 ust. 3 rozporządzenia (WE) nr 1013/2006.</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Zakazany jest wywóz ze Wspólnoty odpadów wymienionych w art. 36 rozporządzenia (WE) nr 1013/2006, jeżeli są one przeznaczone do odzysku w państwach, których nie obowiązuje decyzja OECD (Decyzja Rady OECD C(2001)107/final dotycząca przeglądu decyzji C(92)39/final w sprawie kontroli transgranicznego przemieszczania odpadów przeznaczonych do odzysku).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(CD577)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Odpady przeznaczone wyraźnie do badań laboratoryjnych (art. 3 ust. 4 rozporządzenia (WE) nr 1013/2006) służących ocenie właściwości fizycznych lub chemicznych tych odpadów albo ustaleniu, czy nadają się one do odzysku lub unieszkodliwienia, nie podlegają procedurze uprzedniego pisemnego zgłoszenia i zgody. W takim przypadku obowiązują wymogi proceduralne dotyczące ogólnych obowiązków w zakresie informowania (art. 18 rozporządzenia (WE) nr 1013/2006). Ilość odpadów objętych wyłączeniem w przypadku wyraźnego przeznaczenia ich do badań laboratoryjnych odpowiada minimalnej ilości racjonalnie potrzebnej do prawidłowego przeprowadzenia badań w konkretnym przypadku i nie może przekraczać 25 kg.</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(CD592)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art. 17 rozporządzenia (WE) nr 1005/2009 (Dz.U. L 286), jeśli zgłoszone towary są opisane w przypisach „OZ” do danego środka, wymagane jest pozwolenie na wywóz</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(CD593)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Jeśli zgłoszone towary są opisane w przypisach „OZ” dotyczących danego środka, przywóz jest zakazany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(CD603)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Produkty z fok mogą być wprowadzane do obrotu jedynie wówczas, gdy towarzyszy im świadectwo lub pisemne oświadczenie o przywozie udowadniające gdzie te produkty zostały nabyte Rozporządzenie wykonawcze Komisji (UE) 2015/1850 (Dz.U. L 271).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(CD624)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Przywóz jest dozwolony po dokonaniu kontroli produktów pochodzenia zwierzęcego oraz predstawieniu świadectwa weterynaryjnego CVED wydanego zgodnie z wymogami rozporządzenia (WE) nr 136/2004 (Dz.U. L 21)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(CD635)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Na zasadzie odstępstwa od ust. 1 właściwe organy państw członkowskich wskazane na stronach internetowych, wymienionych w załączniku III, mogą udzielić, na warunkach, jakie uznają za stosowne, zezwolenia na transakcję w związku ze sprzętem, towarami lub technologiami, wymienionymi w załączniku IA, pod warunkiem że sprzęt ten i te towary lub technologie służą do celów związanych z żywnością, rolnictwem, zastosowań medycznych lub innych celów humanitarnych.</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(CD637)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Gotowe produkty medyczne nie są objęte prawodawstwem weterynaryjnym dotyczącym przywozu. Włączone są produkty pośrednie otrzymane z materiału kategorii 3 i przeznaczone do celów technicznych w urządzeniach medycznych, diagnostyce in vitro, odczynnikach laboratoryjnych i kosmetykach. (Decyzja 2007/275/WE oraz załącznik I (rozdział 30) decyzji 2012/31/EU)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(CD644)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 obowiązku przedstawiania świadectwa CVED wyłączone są towary pochodzące z UE i powracające z niektórych krajów trzecich, zgodnie z właściwymi przepisami prawnymi UE.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(CD686)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Osobiste przesyłki produktów pochodzenia zwierzęcego przeznaczonych do spożycia przez ludzi i zwierzęta, o których mowa w artykule 2 rozporządzenia (WE) 206/2009 a) i b) wprowadzane do Wspólnoty z krajów trzecich nie będą podlegać kontrolom weterynaryjnym.</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(CD789)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zgłoszone towary zostały opisane w przypisach TR związanych ze środkiem, wymagane jest pozwolenie na wywóz.</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(CD971)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Załącznik III (przypisy „MG” ) zawiera wykaz produktów, w tym towarów i technologii, wymienionych w wykazie Reżimu Kontrolnego Technologii Rakietowych (RADY (WE) 267/2012)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(CD985)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zgłoszone towary są opisane w przypisie „MG” związanym ze środkiem (Artykuł 4a, Artykuł 4c -RADY (WE) 267/2012): Zakazuje się sprzedaży, dostawy, przekazywania lub wywozu, bezpośrednio lub pośrednio, towarów i technologii wymienionych w załączniku III lub wszelkich innych produktów, które zgodnie z ustaleniami państwa członkowskiego mogłyby posłużyć do opracowywania systemów przenoszenia broni jądrowej – niezależnie od tego, czy te towary i technologie pochodzą z Unii – na rzecz jakichkolwiek osób, podmiotów lub organów z Iranu lub do użytku w Iranie. Zakazuje się nabywania w Iranie, przywozu lub transportu z Iranu, bezpośrednio lub pośrednio, towarów i technologii wymienionych w załączniku III, niezależnie od tego, czy dany produkt pochodzi z Iranu.</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(CD994)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deklarowany towar jest wymieniony w przypisie dołączonym do niniejszego środka - pozwolenie przywozu (wywozu) powinno być przedstawione.</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(CD995)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Jeżeli deklarowany towar jest wymieniony w przypisie dołączonym do niniejszego środka - przywóz lub wywóz jest niedozwolony.</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(DU066)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1C101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(DU091)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1C351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(DU093)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1C353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(DU094)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1C354 objęte wykazem produktów podwójnego zastosowania.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(EU003)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przepisami szczególnymi sekcji II część A pkt 3 przepisów wstępnych Nomenklatury scalonej zawieszenie cła na towary przeznaczone dla niektórych kategorii statków, łodzi i pozostałych jednostek pływających oraz dla platform wiertniczych lub produkcyjnych podlega warunkom ustanowionym w odpowiednich przepisach Unii Europejskiej z uwagi na kontrolę celną wykorzystania takich towarów.</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(MG655)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M17A1, M17C1</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(OZ006)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Inhalatory z dozymetrem (np. rozpylacze dla chorych na astmę), w których jako propelent zastosowano substancje zubażające warstwę ozonową, sprzedawane w postaci lub w opakowaniach do sprzedaży detalicznej</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(TM510)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1. Stawki celne podlegają zawieszeniu w odniesieniu do towarów przeznaczonych do włączenia do statków, łodzi lub pozostałych jednostek pływających zaklasyfikowanych pod następującymi kodami CN: 8901 10 10; 8901 20 10; 8901 30 10; 8901 90 10; 8902 00 10; 8903 91 10; 8903 92 10; 8904 00 10; 8904 00 91; 8905 10 10; 8905 90 10; 8906 10 00; 8906 90 10 do celów ich budowy, naprawy, konserwacji lub przebudowy oraz w odniesieniu do towarów przeznaczonych do umieszczenia w takich statkach, łodziach lub pozostałych jednostkach pływających lub do ich wyposażenia. 2. Stawki celne zostają zawieszone w odniesieniu do: a) towarów przeznaczonych do włączenia do platform wiertniczych lub produkcyjnych: 1) stałych, objętych podpozycją ex 843 0 49, działających na morzu terytorialnym państw członkowskich lub poza nim; lub 2) pływających lub podwodnych, objętych podpozycją 8905 20, do celów ich budowy, naprawy, konserwacji lub przekształcenia, oraz w odniesieniu do towarów przeznaczonych do wyposażenia wymienionych platform. b) rur, przewodów, kabli i ich złączy, łączących te platformy wiertnicze lub produkcyjne ze stałym lądem.</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(TM799)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Towary w art. 2, 2a rozporządzenia (WE) nr 36/2012.</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(TN701)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Zgodnie z rozporządzeniem Rady (UE) nr 692/2014 (Dz.U. L183, str. 9) zabrania się przywozu do Unii Europejskiej towarów pochodzących z Krymu lub Sewastopola.Zakaz nie ma zastosowania do:a) realizacji do dnia 26 września 2014 r. umów handlowych zawartych przed dniem 25 czerwca 2014 r. lub umów dodatkowych niezbędnych do realizacji takich umów, pod warunkiem że osoby fizyczne lub prawne, jednostki lub organy chcące realizować daną umowę zgłosiły co najmniej 10 dni roboczych wcześniej dane działania lub transakcje właściwemu organowi państwa członkowskiego, w którym mają siedzibę;b) towarów pochodzących z Krymu lub Sewastopola, które udostępniono organom Ukrainy do zbadania, w odniesieniu do których sprawdzono zgodność z warunkami umożliwiającymi przyznanie preferencyjnego pochodzenia i dla których zostało wydane świadectwo pochodzenia, zgodnie z rozporządzeniem (UE) nr 978/2012 i rozporządzeniem (UE) nr 374/2014 lub zgodnie z układem o stowarzyszeniu UE-Ukraina.</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(TR014)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Krótko lub średniodługo działające barbituranowe środki znieczulające, m.in.:a) amobarbital (CAS RN 57-43-2)b) sól sodowa amobarbitalu (CAS RN 64-43-7)c) pentobarbital (CAS RN 76-74-4)d) sól sodowa pentobarbitalu (CAS RN 57-33-0)e) sekobarbital (CAS RN 76-73-3)f) sól sodowa sekobarbitalu (CAS RN 309-43-3)Ten punkt odnosi się również do produktów zawierających jeden ze środków znieczulających wymienionych w wykazie krótko lub średniodługo działających barbituranowych środków znieczulających.</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(TR015)  </w:t>
            </w:r>
          </w:p>
        </w:tc>
        <w:tc>
          <w:tcPr>
            <w:tcMar>
              <w:top w:w="0" w:type="dxa"/>
              <w:bottom w:w="0" w:type="dxa"/>
            </w:tcMar>
          </w:tcPr>
          <w:p w:rsidR="00A77B3E">
            <w:pPr>
              <w:spacing w:before="0" w:after="0"/>
              <w:jc w:val="left"/>
              <w:rPr>
                <w:rFonts w:ascii="Times New Roman" w:eastAsia="Times New Roman" w:hAnsi="Times New Roman" w:cs="Times New Roman"/>
                <w:b w:val="0"/>
                <w:sz w:val="15"/>
              </w:rPr>
            </w:pPr>
            <w:r>
              <w:rPr>
                <w:rFonts w:ascii="Times New Roman" w:eastAsia="Times New Roman" w:hAnsi="Times New Roman" w:cs="Times New Roman"/>
                <w:b w:val="0"/>
                <w:sz w:val="15"/>
              </w:rPr>
              <w:t>Krótko lub średniodługo działające barbituranowe środki znieczulające, m.in.: g) tiopental (CAS RN 76-75-5) h) sól sodowa tiopentalu (CAS RN 71-73-8), znana również jako tiopenton sodu</w:t>
            </w:r>
          </w:p>
        </w:tc>
      </w:tr>
    </w:tbl>
    <w:p w:rsidR="00A77B3E">
      <w:pPr>
        <w:spacing w:before="0" w:after="0"/>
        <w:jc w:val="center"/>
        <w:rPr>
          <w:rFonts w:ascii="Times New Roman" w:eastAsia="Times New Roman" w:hAnsi="Times New Roman" w:cs="Times New Roman"/>
          <w:sz w:val="30"/>
        </w:rPr>
      </w:pPr>
    </w:p>
    <w:tbl>
      <w:tblPr>
        <w:tblStyle w:val="TableNormal"/>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
      <w:tblGrid>
        <w:gridCol w:w="1225"/>
        <w:gridCol w:w="2398"/>
        <w:gridCol w:w="1997"/>
        <w:gridCol w:w="15281"/>
      </w:tblGrid>
      <w:tr>
        <w:tblPrEx>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CN kod</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ID obszaru geograficznego</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ID kodu dodatkowego</w:t>
            </w:r>
          </w:p>
        </w:tc>
        <w:tc>
          <w:tcPr>
            <w:tcMar>
              <w:top w:w="0" w:type="dxa"/>
              <w:bottom w:w="0" w:type="dxa"/>
            </w:tcMar>
          </w:tcPr>
          <w:p w:rsidR="00A77B3E">
            <w:pPr>
              <w:spacing w:before="0" w:after="0"/>
              <w:jc w:val="center"/>
              <w:rPr>
                <w:rFonts w:ascii="Times New Roman" w:eastAsia="Times New Roman" w:hAnsi="Times New Roman" w:cs="Times New Roman"/>
                <w:b/>
                <w:sz w:val="14"/>
              </w:rPr>
            </w:pPr>
            <w:r>
              <w:rPr>
                <w:rFonts w:ascii="Times New Roman" w:eastAsia="Times New Roman" w:hAnsi="Times New Roman" w:cs="Times New Roman"/>
                <w:b/>
                <w:sz w:val="14"/>
              </w:rPr>
              <w:t>Opis ( Firmy/Środki )</w:t>
            </w:r>
          </w:p>
        </w:tc>
      </w:tr>
      <w:tr>
        <w:tblPrEx>
          <w:tblW w:w="5000" w:type="pct"/>
          <w:tblCellMar>
            <w:left w:w="108" w:type="dxa"/>
            <w:right w:w="108" w:type="dxa"/>
          </w:tblCellMar>
        </w:tblPrEx>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3001000000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V072</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Wyroby medyczne, w rozumieniu ustawy o wyrobach medycznych, dopuszczone do obrotu na terytorium Rzeczypospolitej Polskiej, inne niż wymienione w pozostałych pozycjach załącznika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V073</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kraju, które uzyskały pozwolenie wydane przez Radę Unii Europejskiej lub Komisję Europejską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X019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Wyroby o rzeczywistej objętościowej mocy alkoholu etylowego przekraczającej 1,2% objętości : ACC : 5704 zł / hl 100% obj. alk.etylowego</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3000000000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X091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Wyroby o rzeczywistej objętościowej mocy alkoholu etylowego nieprzekraczającej 1,2% objętości. : ACC : wyroby nieobjęte akcyzą</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3002000000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3003000000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Środki do okładów leczniczych, w tym kostki borowinowe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3004000000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V071</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Środki skoncentrowane do kuracji pitnej, w tym tabletki „ZUBER”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3005000000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3006101000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3006101000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3006103000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3006109000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3006200000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3006200000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3006300000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3006300000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3006400000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3006500000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3006500000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3006600000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3006600000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V030</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Produkty lecznicze dopuszczone do obrotu na terytorium Rzeczypospolitej Polskiej, zgodnie z przepisami Prawa farmaceutycznego : 8%</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3006700000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3006910000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r>
        <w:tblPrEx>
          <w:tblW w:w="5000" w:type="pct"/>
          <w:tblCellMar>
            <w:left w:w="108" w:type="dxa"/>
            <w:right w:w="108" w:type="dxa"/>
          </w:tblCellMar>
        </w:tblPrEx>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3006920000</w:t>
            </w: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p>
        </w:tc>
        <w:tc>
          <w:tcPr>
            <w:tcMar>
              <w:top w:w="0" w:type="dxa"/>
              <w:bottom w:w="0" w:type="dxa"/>
            </w:tcMar>
          </w:tcPr>
          <w:p w:rsidR="00A77B3E">
            <w:pPr>
              <w:spacing w:before="0" w:after="0"/>
              <w:jc w:val="center"/>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V999</w:t>
            </w:r>
          </w:p>
        </w:tc>
        <w:tc>
          <w:tcPr>
            <w:tcMar>
              <w:top w:w="0" w:type="dxa"/>
              <w:bottom w:w="0" w:type="dxa"/>
            </w:tcMar>
          </w:tcPr>
          <w:p w:rsidR="00A77B3E">
            <w:pPr>
              <w:spacing w:before="0" w:after="0"/>
              <w:jc w:val="left"/>
              <w:rPr>
                <w:rFonts w:ascii="Times New Roman" w:eastAsia="Times New Roman" w:hAnsi="Times New Roman" w:cs="Times New Roman"/>
                <w:b w:val="0"/>
                <w:color w:val="000000"/>
                <w:sz w:val="15"/>
              </w:rPr>
            </w:pPr>
            <w:r>
              <w:rPr>
                <w:rFonts w:ascii="Times New Roman" w:eastAsia="Times New Roman" w:hAnsi="Times New Roman" w:cs="Times New Roman"/>
                <w:b w:val="0"/>
                <w:color w:val="000000"/>
                <w:sz w:val="15"/>
              </w:rPr>
              <w:t>Pozostałe : 23%</w:t>
            </w:r>
          </w:p>
        </w:tc>
      </w:tr>
    </w:tbl>
    <w:p w:rsidR="00A77B3E">
      <w:pPr>
        <w:spacing w:before="0" w:after="0"/>
        <w:jc w:val="center"/>
        <w:rPr>
          <w:rFonts w:ascii="Times New Roman" w:eastAsia="Times New Roman" w:hAnsi="Times New Roman" w:cs="Times New Roman"/>
          <w:sz w:val="30"/>
        </w:rPr>
      </w:pPr>
    </w:p>
    <w:p w:rsidR="00A77B3E">
      <w:pPr>
        <w:spacing w:before="0" w:after="0"/>
        <w:jc w:val="center"/>
        <w:rPr>
          <w:rFonts w:ascii="Times New Roman" w:eastAsia="Times New Roman" w:hAnsi="Times New Roman" w:cs="Times New Roman"/>
          <w:sz w:val="30"/>
        </w:rPr>
      </w:pPr>
    </w:p>
    <w:sectPr>
      <w:pgSz w:w="23811" w:h="16838"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21F9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21F9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21F9B">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21F9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Style w:val="TableNormal"/>
      <w:tblW w:w="0" w:type="auto"/>
      <w:tblLook w:val="01E0"/>
    </w:tblPr>
    <w:tblGrid>
      <w:gridCol w:w="7101"/>
      <w:gridCol w:w="7119"/>
    </w:tblGrid>
    <w:tr>
      <w:tblPrEx>
        <w:tblW w:w="0" w:type="auto"/>
        <w:tblLook w:val="01E0"/>
      </w:tblPrEx>
      <w:tc>
        <w:tcPr>
          <w:tcW w:w="10545" w:type="dxa"/>
        </w:tcPr>
        <w:p w:rsidR="00821F9B">
          <w:pPr>
            <w:pStyle w:val="Header"/>
          </w:pPr>
          <w:r>
            <w:rPr>
              <w:rStyle w:val="PageNumber"/>
            </w:rPr>
            <w:fldChar w:fldCharType="begin"/>
          </w:r>
          <w:r>
            <w:rPr>
              <w:rStyle w:val="PageNumber"/>
            </w:rPr>
            <w:instrText xml:space="preserve"> PAGE </w:instrText>
          </w:r>
          <w:r>
            <w:rPr>
              <w:rStyle w:val="PageNumber"/>
            </w:rPr>
            <w:fldChar w:fldCharType="separate"/>
          </w:r>
          <w:r w:rsidR="0028105A">
            <w:rPr>
              <w:rStyle w:val="PageNumber"/>
              <w:noProof/>
            </w:rPr>
            <w:t>2</w:t>
          </w:r>
          <w:r>
            <w:rPr>
              <w:rStyle w:val="PageNumber"/>
            </w:rPr>
            <w:fldChar w:fldCharType="end"/>
          </w:r>
        </w:p>
      </w:tc>
      <w:tc>
        <w:tcPr>
          <w:tcW w:w="10573" w:type="dxa"/>
        </w:tcPr>
        <w:p w:rsidR="00821F9B">
          <w:pPr>
            <w:pStyle w:val="Header"/>
            <w:jc w:val="right"/>
          </w:pPr>
          <w:r>
            <w:rPr>
              <w:rStyle w:val="PageNumber"/>
            </w:rPr>
            <w:fldChar w:fldCharType="begin"/>
          </w:r>
          <w:r>
            <w:rPr>
              <w:rStyle w:val="PageNumber"/>
            </w:rPr>
            <w:instrText xml:space="preserve"> PAGE </w:instrText>
          </w:r>
          <w:r>
            <w:rPr>
              <w:rStyle w:val="PageNumber"/>
            </w:rPr>
            <w:fldChar w:fldCharType="separate"/>
          </w:r>
          <w:r w:rsidR="0028105A">
            <w:rPr>
              <w:rStyle w:val="PageNumber"/>
              <w:noProof/>
            </w:rPr>
            <w:t>2</w:t>
          </w:r>
          <w:r>
            <w:rPr>
              <w:rStyle w:val="PageNumber"/>
            </w:rPr>
            <w:fldChar w:fldCharType="end"/>
          </w:r>
        </w:p>
      </w:tc>
    </w:tr>
  </w:tbl>
  <w:p w:rsidR="00821F9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821F9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88"/>
    <w:multiLevelType w:val="singleLevel"/>
    <w:tmpl w:val="62C4510C"/>
    <w:lvl w:ilvl="0">
      <w:start w:val="1"/>
      <w:numFmt w:val="decimal"/>
      <w:pStyle w:val="ListNumber"/>
      <w:lvlText w:val="%1."/>
      <w:lvlJc w:val="left"/>
      <w:pPr>
        <w:tabs>
          <w:tab w:val="num" w:pos="360"/>
        </w:tabs>
        <w:ind w:left="360" w:hanging="360"/>
      </w:pPr>
    </w:lvl>
  </w:abstractNum>
  <w:abstractNum w:abstractNumId="1">
    <w:nsid w:val="122A0733"/>
    <w:multiLevelType w:val="hybridMultilevel"/>
    <w:tmpl w:val="ACE0A31C"/>
    <w:lvl w:ilvl="0">
      <w:start w:val="1"/>
      <w:numFmt w:val="decimal"/>
      <w:lvlText w:val="(%1)"/>
      <w:lvlJc w:val="left"/>
      <w:pPr>
        <w:tabs>
          <w:tab w:val="num" w:pos="357"/>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3">
    <w:nsid w:val="171E04CA"/>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start w:val="1"/>
      <w:numFmt w:val="lowerLetter"/>
      <w:lvlText w:val="(%1)"/>
      <w:lvlJc w:val="left"/>
      <w:pPr>
        <w:tabs>
          <w:tab w:val="num" w:pos="357"/>
        </w:tabs>
        <w:ind w:left="357" w:hanging="35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abstractNum w:abstractNumId="28">
    <w:nsid w:val="79550EAF"/>
    <w:multiLevelType w:val="hybridMultilevel"/>
    <w:tmpl w:val="D6D2CFEC"/>
    <w:lvl w:ilvl="0">
      <w:start w:val="1"/>
      <w:numFmt w:val="decimal"/>
      <w:lvlText w:val="%1)"/>
      <w:lvlJc w:val="left"/>
      <w:pPr>
        <w:tabs>
          <w:tab w:val="num" w:pos="1600"/>
        </w:tabs>
        <w:ind w:left="1600" w:hanging="340"/>
      </w:pPr>
      <w:rPr>
        <w:rFonts w:cs="Times New Roman" w:hint="default"/>
        <w:b w:val="0"/>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
    <w:nsid w:val="79550EB0"/>
    <w:multiLevelType w:val="hybridMultilevel"/>
    <w:tmpl w:val="D3A03C26"/>
    <w:lvl w:ilvl="0">
      <w:start w:val="1"/>
      <w:numFmt w:val="decimal"/>
      <w:lvlText w:val="%1)"/>
      <w:lvlJc w:val="left"/>
      <w:pPr>
        <w:tabs>
          <w:tab w:val="num" w:pos="1600"/>
        </w:tabs>
        <w:ind w:left="1600" w:hanging="340"/>
      </w:pPr>
      <w:rPr>
        <w:rFonts w:cs="Times New Roman" w:hint="default"/>
        <w:b w:val="0"/>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
    <w:nsid w:val="79550EB1"/>
    <w:multiLevelType w:val="hybridMultilevel"/>
    <w:tmpl w:val="95FC4A62"/>
    <w:lvl w:ilvl="0">
      <w:start w:val="11"/>
      <w:numFmt w:val="lowerLetter"/>
      <w:lvlText w:val="(%1)"/>
      <w:lvlJc w:val="left"/>
      <w:pPr>
        <w:tabs>
          <w:tab w:val="num" w:pos="1080"/>
        </w:tabs>
        <w:ind w:left="1080" w:hanging="360"/>
      </w:pPr>
      <w:rPr>
        <w:rFonts w:cs="Times New Roman" w:hint="default"/>
      </w:rPr>
    </w:lvl>
    <w:lvl w:ilvl="1">
      <w:start w:val="1"/>
      <w:numFmt w:val="lowerLetter"/>
      <w:lvlText w:val="%2)"/>
      <w:lvlJc w:val="left"/>
      <w:pPr>
        <w:tabs>
          <w:tab w:val="num" w:pos="1800"/>
        </w:tabs>
        <w:ind w:left="1800" w:hanging="360"/>
      </w:pPr>
      <w:rPr>
        <w:rFonts w:cs="Times New Roman" w:hint="default"/>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31">
    <w:nsid w:val="79550EB2"/>
    <w:multiLevelType w:val="multilevel"/>
    <w:tmpl w:val="B57E28D4"/>
    <w:numStyleLink w:val="Numbered"/>
    <w:lvl w:ilvl="0">
      <w:start w:val="1"/>
      <w:numFmt w:val="decimal"/>
      <w:lvlJc w:val="left"/>
    </w:lvl>
    <w:lvl w:ilvl="1">
      <w:start w:val="1"/>
      <w:numFmt w:val="decimal"/>
      <w:lvlJc w:val="left"/>
    </w:lvl>
    <w:lvl w:ilvl="2">
      <w:start w:val="1"/>
      <w:numFmt w:val="decimal"/>
      <w:lvlJc w:val="left"/>
    </w:lvl>
    <w:lvl w:ilvl="3">
      <w:start w:val="1"/>
      <w:numFmt w:val="decimal"/>
      <w:lvlJc w:val="left"/>
    </w:lvl>
    <w:lvl w:ilvl="4">
      <w:start w:val="1"/>
      <w:numFmt w:val="decimal"/>
      <w:lvlJc w:val="left"/>
    </w:lvl>
    <w:lvl w:ilvl="5">
      <w:start w:val="1"/>
      <w:numFmt w:val="decimal"/>
      <w:lvlJc w:val="left"/>
    </w:lvl>
    <w:lvl w:ilvl="6">
      <w:start w:val="1"/>
      <w:numFmt w:val="decimal"/>
      <w:lvlJc w:val="left"/>
    </w:lvl>
    <w:lvl w:ilvl="7">
      <w:start w:val="1"/>
      <w:numFmt w:val="decimal"/>
      <w:lvlJc w:val="left"/>
    </w:lvl>
    <w:lvl w:ilvl="8">
      <w:start w:val="1"/>
      <w:numFmt w:val="decimal"/>
      <w:lvlJc w:val="left"/>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 w:numId="30">
    <w:abstractNumId w:val="29"/>
  </w:num>
  <w:num w:numId="31">
    <w:abstractNumId w:val="3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08"/>
  <w:hyphenationZone w:val="425"/>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01C2F"/>
    <w:pPr>
      <w:jc w:val="both"/>
    </w:pPr>
    <w:rPr>
      <w:lang w:val="pl-PL" w:eastAsia="pl-PL"/>
    </w:rPr>
  </w:style>
  <w:style w:type="paragraph" w:styleId="Heading1">
    <w:name w:val="heading 1"/>
    <w:next w:val="Normal"/>
    <w:qFormat/>
    <w:rsid w:val="00701C2F"/>
    <w:pPr>
      <w:keepNext/>
      <w:spacing w:before="240" w:after="60"/>
      <w:jc w:val="center"/>
      <w:outlineLvl w:val="0"/>
    </w:pPr>
    <w:rPr>
      <w:rFonts w:cs="Arial"/>
      <w:bCs/>
      <w:kern w:val="32"/>
      <w:sz w:val="36"/>
      <w:szCs w:val="44"/>
      <w:lang w:val="pl-PL" w:eastAsia="pl-PL"/>
    </w:rPr>
  </w:style>
  <w:style w:type="paragraph" w:styleId="Heading2">
    <w:name w:val="heading 2"/>
    <w:basedOn w:val="Normal"/>
    <w:next w:val="Normal"/>
    <w:qFormat/>
    <w:rsid w:val="00701C2F"/>
    <w:pPr>
      <w:keepNext/>
      <w:spacing w:before="240" w:after="60"/>
      <w:jc w:val="center"/>
      <w:outlineLvl w:val="1"/>
    </w:pPr>
    <w:rPr>
      <w:rFonts w:cs="Arial"/>
      <w:bCs/>
      <w:iCs/>
      <w:sz w:val="32"/>
      <w:szCs w:val="28"/>
    </w:rPr>
  </w:style>
  <w:style w:type="paragraph" w:styleId="Heading3">
    <w:name w:val="heading 3"/>
    <w:basedOn w:val="Normal"/>
    <w:next w:val="Normal"/>
    <w:qFormat/>
    <w:rsid w:val="00701C2F"/>
    <w:pPr>
      <w:spacing w:before="100" w:beforeAutospacing="1" w:after="100" w:afterAutospacing="1"/>
      <w:jc w:val="center"/>
      <w:outlineLvl w:val="2"/>
    </w:pPr>
    <w:rPr>
      <w:b/>
      <w:sz w:val="28"/>
      <w:szCs w:val="24"/>
      <w:lang w:val="en-US"/>
    </w:rPr>
  </w:style>
  <w:style w:type="paragraph" w:styleId="Heading4">
    <w:name w:val="heading 4"/>
    <w:basedOn w:val="Normal"/>
    <w:qFormat/>
    <w:rsid w:val="00701C2F"/>
    <w:pPr>
      <w:spacing w:before="100" w:beforeAutospacing="1" w:after="100" w:afterAutospacing="1"/>
      <w:ind w:left="864" w:hanging="864"/>
      <w:outlineLvl w:val="3"/>
    </w:pPr>
    <w:rPr>
      <w:bCs/>
      <w:sz w:val="28"/>
      <w:szCs w:val="24"/>
    </w:rPr>
  </w:style>
  <w:style w:type="paragraph" w:styleId="Heading5">
    <w:name w:val="heading 5"/>
    <w:basedOn w:val="Normal"/>
    <w:qFormat/>
    <w:rsid w:val="00750451"/>
    <w:pPr>
      <w:spacing w:line="180" w:lineRule="atLeast"/>
      <w:ind w:firstLine="357"/>
      <w:outlineLvl w:val="4"/>
    </w:pPr>
    <w:rPr>
      <w:b/>
      <w:spacing w:val="-2"/>
      <w:szCs w:val="18"/>
    </w:rPr>
  </w:style>
  <w:style w:type="paragraph" w:styleId="Heading6">
    <w:name w:val="heading 6"/>
    <w:basedOn w:val="Normal"/>
    <w:qFormat/>
    <w:rsid w:val="00701C2F"/>
    <w:pPr>
      <w:ind w:left="1152" w:hanging="1152"/>
      <w:outlineLvl w:val="5"/>
    </w:pPr>
    <w:rPr>
      <w:bCs/>
      <w:spacing w:val="-5"/>
      <w:szCs w:val="28"/>
    </w:rPr>
  </w:style>
  <w:style w:type="paragraph" w:styleId="Heading7">
    <w:name w:val="heading 7"/>
    <w:basedOn w:val="Normal"/>
    <w:qFormat/>
    <w:rsid w:val="00701C2F"/>
    <w:pPr>
      <w:spacing w:before="240" w:after="60"/>
      <w:ind w:left="1296" w:hanging="1296"/>
      <w:outlineLvl w:val="6"/>
    </w:pPr>
    <w:rPr>
      <w:rFonts w:ascii="Arial" w:hAnsi="Arial"/>
      <w:spacing w:val="-5"/>
    </w:rPr>
  </w:style>
  <w:style w:type="paragraph" w:styleId="Heading8">
    <w:name w:val="heading 8"/>
    <w:basedOn w:val="Normal"/>
    <w:qFormat/>
    <w:rsid w:val="00701C2F"/>
    <w:pPr>
      <w:spacing w:before="240" w:after="60"/>
      <w:ind w:left="1440" w:hanging="1440"/>
      <w:outlineLvl w:val="7"/>
    </w:pPr>
    <w:rPr>
      <w:rFonts w:ascii="Arial" w:hAnsi="Arial"/>
      <w:i/>
      <w:iCs/>
      <w:spacing w:val="-5"/>
    </w:rPr>
  </w:style>
  <w:style w:type="paragraph" w:styleId="Heading9">
    <w:name w:val="heading 9"/>
    <w:basedOn w:val="Normal"/>
    <w:qFormat/>
    <w:rsid w:val="00701C2F"/>
    <w:pPr>
      <w:spacing w:before="240" w:after="60"/>
      <w:ind w:left="1584" w:hanging="1584"/>
      <w:outlineLvl w:val="8"/>
    </w:pPr>
    <w:rPr>
      <w:bCs/>
      <w:i/>
      <w:iCs/>
      <w:spacing w:val="-5"/>
      <w:sz w:val="16"/>
      <w:szCs w:val="18"/>
    </w:rPr>
  </w:style>
  <w:style w:type="character" w:default="1" w:styleId="DefaultParagraphFont">
    <w:name w:val="Default Paragraph Font"/>
    <w:semiHidden/>
    <w:rsid w:val="00701C2F"/>
  </w:style>
  <w:style w:type="table" w:default="1" w:styleId="TableNormal">
    <w:name w:val="Normal Table"/>
    <w:semiHidden/>
    <w:rsid w:val="00701C2F"/>
    <w:tblPr>
      <w:tblInd w:w="0" w:type="dxa"/>
      <w:tblCellMar>
        <w:top w:w="0" w:type="dxa"/>
        <w:left w:w="108" w:type="dxa"/>
        <w:bottom w:w="0" w:type="dxa"/>
        <w:right w:w="108" w:type="dxa"/>
      </w:tblCellMar>
    </w:tblPr>
  </w:style>
  <w:style w:type="numbering" w:default="1" w:styleId="NoList">
    <w:name w:val="No List"/>
    <w:semiHidden/>
    <w:rsid w:val="00701C2F"/>
  </w:style>
  <w:style w:type="numbering" w:customStyle="1" w:styleId="Bulleted">
    <w:name w:val="Bulleted"/>
    <w:rsid w:val="00701C2F"/>
    <w:pPr>
      <w:numPr>
        <w:numId w:val="8"/>
      </w:numPr>
    </w:pPr>
  </w:style>
  <w:style w:type="paragraph" w:customStyle="1" w:styleId="ChapterTitle">
    <w:name w:val="Chapter Title"/>
    <w:basedOn w:val="Normal"/>
    <w:next w:val="Normal"/>
    <w:rsid w:val="00701C2F"/>
    <w:pPr>
      <w:jc w:val="center"/>
    </w:pPr>
    <w:rPr>
      <w:b/>
      <w:sz w:val="32"/>
      <w:szCs w:val="24"/>
      <w:lang w:val="en-US"/>
    </w:rPr>
  </w:style>
  <w:style w:type="paragraph" w:styleId="Footer">
    <w:name w:val="footer"/>
    <w:basedOn w:val="Normal"/>
    <w:rsid w:val="00701C2F"/>
    <w:pPr>
      <w:spacing w:before="600" w:line="180" w:lineRule="atLeast"/>
      <w:jc w:val="center"/>
    </w:pPr>
    <w:rPr>
      <w:spacing w:val="-5"/>
      <w:sz w:val="18"/>
      <w:szCs w:val="18"/>
    </w:rPr>
  </w:style>
  <w:style w:type="paragraph" w:styleId="FootnoteText">
    <w:name w:val="footnote text"/>
    <w:basedOn w:val="Normal"/>
    <w:rsid w:val="00701C2F"/>
    <w:pPr>
      <w:spacing w:before="100" w:beforeAutospacing="1" w:after="100" w:afterAutospacing="1"/>
    </w:pPr>
    <w:rPr>
      <w:sz w:val="24"/>
      <w:szCs w:val="24"/>
    </w:rPr>
  </w:style>
  <w:style w:type="paragraph" w:styleId="Header">
    <w:name w:val="header"/>
    <w:basedOn w:val="Normal"/>
    <w:rsid w:val="00701C2F"/>
  </w:style>
  <w:style w:type="paragraph" w:customStyle="1" w:styleId="headerbase">
    <w:name w:val="headerbase"/>
    <w:basedOn w:val="Normal"/>
    <w:rsid w:val="00701C2F"/>
    <w:pPr>
      <w:jc w:val="center"/>
    </w:pPr>
    <w:rPr>
      <w:spacing w:val="-5"/>
    </w:rPr>
  </w:style>
  <w:style w:type="paragraph" w:styleId="List">
    <w:name w:val="List"/>
    <w:basedOn w:val="Normal"/>
    <w:rsid w:val="00701C2F"/>
    <w:pPr>
      <w:ind w:left="283" w:hanging="283"/>
    </w:pPr>
  </w:style>
  <w:style w:type="character" w:customStyle="1" w:styleId="NCode">
    <w:name w:val="NCode"/>
    <w:basedOn w:val="DefaultParagraphFont"/>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
    <w:next w:val="Normal"/>
    <w:rsid w:val="00701C2F"/>
    <w:pPr>
      <w:numPr>
        <w:numId w:val="10"/>
      </w:numPr>
    </w:pPr>
    <w:rPr>
      <w:lang w:val="en-US"/>
    </w:rPr>
  </w:style>
  <w:style w:type="paragraph" w:customStyle="1" w:styleId="picture">
    <w:name w:val="picture"/>
    <w:basedOn w:val="Normal"/>
    <w:rsid w:val="00701C2F"/>
    <w:pPr>
      <w:spacing w:before="100" w:beforeAutospacing="1" w:after="100" w:afterAutospacing="1"/>
    </w:pPr>
    <w:rPr>
      <w:sz w:val="24"/>
      <w:szCs w:val="24"/>
    </w:rPr>
  </w:style>
  <w:style w:type="paragraph" w:customStyle="1" w:styleId="SectionTitle">
    <w:name w:val="Section Title"/>
    <w:basedOn w:val="Normal"/>
    <w:rsid w:val="00701C2F"/>
    <w:pPr>
      <w:jc w:val="center"/>
    </w:pPr>
    <w:rPr>
      <w:b/>
      <w:sz w:val="36"/>
      <w:szCs w:val="24"/>
      <w:lang w:val="en-US"/>
    </w:rPr>
  </w:style>
  <w:style w:type="paragraph" w:customStyle="1" w:styleId="Tablecontent">
    <w:name w:val="Table content"/>
    <w:basedOn w:val="Normal"/>
    <w:rsid w:val="00701C2F"/>
    <w:pPr>
      <w:spacing w:before="60" w:after="60"/>
      <w:ind w:left="57" w:right="57"/>
    </w:pPr>
    <w:rPr>
      <w:rFonts w:ascii="Times" w:hAnsi="Times"/>
      <w:lang w:val="en-US"/>
    </w:rPr>
  </w:style>
  <w:style w:type="paragraph" w:customStyle="1" w:styleId="Tableheading">
    <w:name w:val="Table heading"/>
    <w:basedOn w:val="Normal"/>
    <w:next w:val="Tablecontent"/>
    <w:rsid w:val="00701C2F"/>
    <w:pPr>
      <w:spacing w:before="60" w:after="60"/>
      <w:jc w:val="center"/>
    </w:pPr>
    <w:rPr>
      <w:b/>
      <w:lang w:val="en-US"/>
    </w:rPr>
  </w:style>
  <w:style w:type="character" w:styleId="PageNumber">
    <w:name w:val="page number"/>
    <w:basedOn w:val="DefaultParagraphFont"/>
    <w:rsid w:val="00A97A98"/>
  </w:style>
  <w:style w:type="table" w:styleId="TableGrid">
    <w:name w:val="Table Grid"/>
    <w:basedOn w:val="TableNormal"/>
    <w:rsid w:val="00A97A9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numbered">
    <w:name w:val="2. numbered"/>
    <w:basedOn w:val="NoList"/>
    <w:rsid w:val="00727D96"/>
    <w:pPr>
      <w:numPr>
        <w:numId w:val="15"/>
      </w:numPr>
    </w:pPr>
  </w:style>
  <w:style w:type="numbering" w:customStyle="1" w:styleId="3numbered">
    <w:name w:val="3. numbered"/>
    <w:basedOn w:val="NoList"/>
    <w:rsid w:val="00727D96"/>
    <w:pPr>
      <w:numPr>
        <w:numId w:val="23"/>
      </w:numPr>
    </w:pPr>
  </w:style>
  <w:style w:type="paragraph" w:styleId="ListNumber">
    <w:name w:val="List Number"/>
    <w:basedOn w:val="Normal"/>
    <w:rsid w:val="001F6554"/>
    <w:pPr>
      <w:numPr>
        <w:numId w:val="13"/>
      </w:numPr>
    </w:pPr>
  </w:style>
  <w:style w:type="numbering" w:customStyle="1" w:styleId="4numbered">
    <w:name w:val="4 numbered"/>
    <w:basedOn w:val="NoList"/>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windows-1250"/>
  <w:optimizeForBrowser/>
  <w:relyOnVML/>
  <w:doNotOrganizeInFolder/>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header" Target="header2.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header" Target="header3.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index.dotx</Template>
  <TotalTime>0</TotalTime>
  <Pages>1</Pages>
  <Words>0</Words>
  <Characters>0</Characters>
  <Application>Microsoft Office Word</Application>
  <DocSecurity>0</DocSecurity>
  <Lines>0</Lines>
  <Paragraphs>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edyn</cp:lastModifiedBy>
  <cp:revision>2</cp:revision>
  <dcterms:created xsi:type="dcterms:W3CDTF">2014-09-29T10:35:00Z</dcterms:created>
  <dcterms:modified xsi:type="dcterms:W3CDTF">2014-09-29T10:35:00Z</dcterms:modified>
</cp:coreProperties>
</file>