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73"/>
        <w:gridCol w:w="5566"/>
        <w:gridCol w:w="1381"/>
      </w:tblGrid>
      <w:tr w:rsidR="00900084" w:rsidTr="00A42530">
        <w:trPr>
          <w:cantSplit/>
          <w:trHeight w:val="195"/>
        </w:trPr>
        <w:tc>
          <w:tcPr>
            <w:tcW w:w="9039" w:type="dxa"/>
            <w:gridSpan w:val="2"/>
            <w:tcBorders>
              <w:top w:val="nil"/>
              <w:left w:val="nil"/>
              <w:bottom w:val="nil"/>
              <w:right w:val="single" w:sz="4" w:space="0" w:color="auto"/>
            </w:tcBorders>
            <w:shd w:val="clear" w:color="auto" w:fill="808080"/>
          </w:tcPr>
          <w:p w:rsidR="00900084" w:rsidRDefault="00A42530" w:rsidP="00056694">
            <w:pPr>
              <w:tabs>
                <w:tab w:val="left" w:pos="1275"/>
              </w:tabs>
              <w:jc w:val="center"/>
              <w:rPr>
                <w:rFonts w:ascii="Arial" w:hAnsi="Arial"/>
                <w:b/>
                <w:smallCaps/>
                <w:sz w:val="28"/>
              </w:rPr>
            </w:pPr>
            <w:r>
              <w:rPr>
                <w:rFonts w:ascii="Arial" w:hAnsi="Arial"/>
                <w:b/>
                <w:sz w:val="28"/>
              </w:rPr>
              <w:t xml:space="preserve">Krajowa Administracja Skarbowa </w:t>
            </w:r>
            <w:r w:rsidR="00056694">
              <w:rPr>
                <w:rFonts w:ascii="Arial" w:hAnsi="Arial"/>
                <w:b/>
                <w:sz w:val="28"/>
              </w:rPr>
              <w:t>–</w:t>
            </w:r>
            <w:r>
              <w:rPr>
                <w:rFonts w:ascii="Arial" w:hAnsi="Arial"/>
                <w:b/>
                <w:sz w:val="28"/>
              </w:rPr>
              <w:t xml:space="preserve"> </w:t>
            </w:r>
            <w:r w:rsidR="00056694">
              <w:rPr>
                <w:rFonts w:ascii="Arial" w:hAnsi="Arial"/>
                <w:b/>
                <w:sz w:val="28"/>
              </w:rPr>
              <w:t xml:space="preserve">zagadnienia dotyczące </w:t>
            </w:r>
            <w:r>
              <w:rPr>
                <w:rFonts w:ascii="Arial" w:hAnsi="Arial"/>
                <w:b/>
                <w:sz w:val="28"/>
              </w:rPr>
              <w:t>przepis</w:t>
            </w:r>
            <w:r w:rsidR="00056694">
              <w:rPr>
                <w:rFonts w:ascii="Arial" w:hAnsi="Arial"/>
                <w:b/>
                <w:sz w:val="28"/>
              </w:rPr>
              <w:t>ów</w:t>
            </w:r>
            <w:r>
              <w:rPr>
                <w:rFonts w:ascii="Arial" w:hAnsi="Arial"/>
                <w:b/>
                <w:sz w:val="28"/>
              </w:rPr>
              <w:t xml:space="preserve"> celn</w:t>
            </w:r>
            <w:r w:rsidR="00056694">
              <w:rPr>
                <w:rFonts w:ascii="Arial" w:hAnsi="Arial"/>
                <w:b/>
                <w:sz w:val="28"/>
              </w:rPr>
              <w:t>ych</w:t>
            </w:r>
          </w:p>
        </w:tc>
        <w:tc>
          <w:tcPr>
            <w:tcW w:w="1381" w:type="dxa"/>
            <w:tcBorders>
              <w:left w:val="single" w:sz="4" w:space="0" w:color="auto"/>
            </w:tcBorders>
            <w:shd w:val="clear" w:color="auto" w:fill="FFFFFF"/>
          </w:tcPr>
          <w:p w:rsidR="00900084" w:rsidRDefault="00900084" w:rsidP="007417DA">
            <w:pPr>
              <w:tabs>
                <w:tab w:val="left" w:pos="1275"/>
              </w:tabs>
              <w:rPr>
                <w:rFonts w:ascii="Arial" w:hAnsi="Arial"/>
                <w:b/>
                <w:smallCaps/>
                <w:sz w:val="20"/>
              </w:rPr>
            </w:pPr>
            <w:r>
              <w:rPr>
                <w:rFonts w:ascii="Arial" w:hAnsi="Arial"/>
                <w:b/>
                <w:smallCaps/>
                <w:sz w:val="20"/>
              </w:rPr>
              <w:t xml:space="preserve">POZ.    </w:t>
            </w:r>
            <w:r w:rsidR="00056694">
              <w:rPr>
                <w:rFonts w:ascii="Arial" w:hAnsi="Arial"/>
                <w:b/>
                <w:smallCaps/>
                <w:sz w:val="20"/>
              </w:rPr>
              <w:t>1</w:t>
            </w:r>
          </w:p>
        </w:tc>
      </w:tr>
      <w:tr w:rsidR="00900084">
        <w:trPr>
          <w:cantSplit/>
          <w:trHeight w:val="195"/>
        </w:trPr>
        <w:tc>
          <w:tcPr>
            <w:tcW w:w="10420" w:type="dxa"/>
            <w:gridSpan w:val="3"/>
            <w:shd w:val="clear" w:color="auto" w:fill="808080"/>
          </w:tcPr>
          <w:p w:rsidR="00900084" w:rsidRDefault="00900084">
            <w:pPr>
              <w:rPr>
                <w:rFonts w:ascii="Arial" w:hAnsi="Arial"/>
                <w:b/>
                <w:i/>
                <w:smallCaps/>
                <w:sz w:val="26"/>
              </w:rPr>
            </w:pPr>
            <w:r>
              <w:rPr>
                <w:rFonts w:ascii="Arial" w:hAnsi="Arial"/>
                <w:b/>
                <w:i/>
                <w:smallCaps/>
                <w:sz w:val="26"/>
              </w:rPr>
              <w:t>Metryczka sprawy</w:t>
            </w:r>
          </w:p>
        </w:tc>
      </w:tr>
      <w:tr w:rsidR="00900084">
        <w:trPr>
          <w:cantSplit/>
          <w:trHeight w:val="227"/>
        </w:trPr>
        <w:tc>
          <w:tcPr>
            <w:tcW w:w="10420" w:type="dxa"/>
            <w:gridSpan w:val="3"/>
            <w:vAlign w:val="center"/>
          </w:tcPr>
          <w:p w:rsidR="00400BBA" w:rsidRDefault="00900084" w:rsidP="007067FC">
            <w:pPr>
              <w:spacing w:before="120"/>
              <w:rPr>
                <w:rFonts w:ascii="Arial" w:hAnsi="Arial"/>
                <w:b/>
                <w:sz w:val="20"/>
              </w:rPr>
            </w:pPr>
            <w:r>
              <w:rPr>
                <w:rFonts w:ascii="Arial" w:hAnsi="Arial"/>
                <w:b/>
                <w:sz w:val="20"/>
              </w:rPr>
              <w:t xml:space="preserve">Zagadnienie z zakresu: </w:t>
            </w:r>
            <w:r w:rsidR="007067FC" w:rsidRPr="007067FC">
              <w:rPr>
                <w:rFonts w:ascii="Arial" w:hAnsi="Arial"/>
                <w:sz w:val="20"/>
              </w:rPr>
              <w:t xml:space="preserve">Przedłużenie terminu ważności gwarancji </w:t>
            </w:r>
            <w:r w:rsidR="007067FC">
              <w:rPr>
                <w:rFonts w:ascii="Arial" w:hAnsi="Arial"/>
                <w:sz w:val="20"/>
              </w:rPr>
              <w:t xml:space="preserve">bankowej lub ubezpieczeniowej </w:t>
            </w:r>
            <w:r w:rsidR="007067FC" w:rsidRPr="007067FC">
              <w:rPr>
                <w:rFonts w:ascii="Arial" w:hAnsi="Arial"/>
                <w:sz w:val="20"/>
              </w:rPr>
              <w:t xml:space="preserve">złożonej na podstawie pozwolenia </w:t>
            </w:r>
            <w:r w:rsidR="007067FC">
              <w:rPr>
                <w:rFonts w:ascii="Arial" w:hAnsi="Arial"/>
                <w:sz w:val="20"/>
              </w:rPr>
              <w:t xml:space="preserve">na złożenie zabezpieczenia generalnego </w:t>
            </w:r>
            <w:r w:rsidR="007067FC" w:rsidRPr="007067FC">
              <w:rPr>
                <w:rFonts w:ascii="Arial" w:hAnsi="Arial"/>
                <w:sz w:val="20"/>
              </w:rPr>
              <w:t xml:space="preserve">wydanego przed </w:t>
            </w:r>
            <w:r w:rsidR="007067FC">
              <w:rPr>
                <w:rFonts w:ascii="Arial" w:hAnsi="Arial"/>
                <w:sz w:val="20"/>
              </w:rPr>
              <w:t xml:space="preserve">dniem </w:t>
            </w:r>
            <w:r w:rsidR="007067FC" w:rsidRPr="007067FC">
              <w:rPr>
                <w:rFonts w:ascii="Arial" w:hAnsi="Arial"/>
                <w:sz w:val="20"/>
              </w:rPr>
              <w:t>1</w:t>
            </w:r>
            <w:r w:rsidR="007067FC">
              <w:rPr>
                <w:rFonts w:ascii="Arial" w:hAnsi="Arial"/>
                <w:sz w:val="20"/>
              </w:rPr>
              <w:t xml:space="preserve"> maja</w:t>
            </w:r>
            <w:r w:rsidR="007067FC" w:rsidRPr="007067FC">
              <w:rPr>
                <w:rFonts w:ascii="Arial" w:hAnsi="Arial"/>
                <w:sz w:val="20"/>
              </w:rPr>
              <w:t xml:space="preserve"> 2016 r.</w:t>
            </w:r>
            <w:r w:rsidR="007067FC">
              <w:rPr>
                <w:rFonts w:ascii="Arial" w:hAnsi="Arial"/>
                <w:sz w:val="20"/>
              </w:rPr>
              <w:t xml:space="preserve"> </w:t>
            </w:r>
            <w:bookmarkStart w:id="0" w:name="_GoBack"/>
            <w:bookmarkEnd w:id="0"/>
          </w:p>
        </w:tc>
      </w:tr>
      <w:tr w:rsidR="00900084">
        <w:trPr>
          <w:cantSplit/>
          <w:trHeight w:val="227"/>
        </w:trPr>
        <w:tc>
          <w:tcPr>
            <w:tcW w:w="10420" w:type="dxa"/>
            <w:gridSpan w:val="3"/>
            <w:vAlign w:val="center"/>
          </w:tcPr>
          <w:p w:rsidR="00900084" w:rsidRDefault="00900084">
            <w:pPr>
              <w:rPr>
                <w:rFonts w:ascii="Arial" w:hAnsi="Arial"/>
                <w:b/>
                <w:sz w:val="20"/>
              </w:rPr>
            </w:pPr>
            <w:r>
              <w:rPr>
                <w:rFonts w:ascii="Arial" w:hAnsi="Arial"/>
                <w:b/>
                <w:sz w:val="20"/>
              </w:rPr>
              <w:t xml:space="preserve">Opis zagadnienia: </w:t>
            </w:r>
          </w:p>
          <w:p w:rsidR="00A42530" w:rsidRPr="00A42530" w:rsidRDefault="00A42530" w:rsidP="00A42530">
            <w:pPr>
              <w:spacing w:before="120"/>
              <w:jc w:val="both"/>
              <w:rPr>
                <w:rFonts w:ascii="Arial" w:eastAsia="Cambria" w:hAnsi="Arial" w:cs="Arial"/>
                <w:sz w:val="20"/>
                <w:szCs w:val="20"/>
                <w:lang w:eastAsia="en-US"/>
              </w:rPr>
            </w:pPr>
            <w:r>
              <w:rPr>
                <w:rFonts w:ascii="Arial" w:eastAsia="Cambria" w:hAnsi="Arial" w:cs="Arial"/>
                <w:b/>
                <w:bCs/>
                <w:sz w:val="20"/>
                <w:szCs w:val="20"/>
                <w:lang w:eastAsia="en-US"/>
              </w:rPr>
              <w:t>Zagadnienie</w:t>
            </w:r>
            <w:r w:rsidRPr="00A42530">
              <w:rPr>
                <w:rFonts w:ascii="Arial" w:eastAsia="Cambria" w:hAnsi="Arial" w:cs="Arial"/>
                <w:b/>
                <w:bCs/>
                <w:sz w:val="20"/>
                <w:szCs w:val="20"/>
                <w:lang w:eastAsia="en-US"/>
              </w:rPr>
              <w:t xml:space="preserve"> dotycz</w:t>
            </w:r>
            <w:r>
              <w:rPr>
                <w:rFonts w:ascii="Arial" w:eastAsia="Cambria" w:hAnsi="Arial" w:cs="Arial"/>
                <w:b/>
                <w:bCs/>
                <w:sz w:val="20"/>
                <w:szCs w:val="20"/>
                <w:lang w:eastAsia="en-US"/>
              </w:rPr>
              <w:t>y</w:t>
            </w:r>
            <w:r w:rsidRPr="00A42530">
              <w:rPr>
                <w:rFonts w:ascii="Arial" w:eastAsia="Cambria" w:hAnsi="Arial" w:cs="Arial"/>
                <w:b/>
                <w:bCs/>
                <w:sz w:val="20"/>
                <w:szCs w:val="20"/>
                <w:lang w:eastAsia="en-US"/>
              </w:rPr>
              <w:t xml:space="preserve"> pozwolenia na stosowanie zabezpieczenia generalnego wydanego przed </w:t>
            </w:r>
            <w:r w:rsidR="00056694">
              <w:rPr>
                <w:rFonts w:ascii="Arial" w:eastAsia="Cambria" w:hAnsi="Arial" w:cs="Arial"/>
                <w:b/>
                <w:bCs/>
                <w:sz w:val="20"/>
                <w:szCs w:val="20"/>
                <w:lang w:eastAsia="en-US"/>
              </w:rPr>
              <w:t xml:space="preserve">dniem </w:t>
            </w:r>
            <w:r w:rsidRPr="00A42530">
              <w:rPr>
                <w:rFonts w:ascii="Arial" w:eastAsia="Cambria" w:hAnsi="Arial" w:cs="Arial"/>
                <w:b/>
                <w:bCs/>
                <w:sz w:val="20"/>
                <w:szCs w:val="20"/>
                <w:lang w:eastAsia="en-US"/>
              </w:rPr>
              <w:t>1</w:t>
            </w:r>
            <w:r w:rsidR="00056694">
              <w:rPr>
                <w:rFonts w:ascii="Arial" w:eastAsia="Cambria" w:hAnsi="Arial" w:cs="Arial"/>
                <w:b/>
                <w:bCs/>
                <w:sz w:val="20"/>
                <w:szCs w:val="20"/>
                <w:lang w:eastAsia="en-US"/>
              </w:rPr>
              <w:t> </w:t>
            </w:r>
            <w:r w:rsidRPr="00A42530">
              <w:rPr>
                <w:rFonts w:ascii="Arial" w:eastAsia="Cambria" w:hAnsi="Arial" w:cs="Arial"/>
                <w:b/>
                <w:bCs/>
                <w:sz w:val="20"/>
                <w:szCs w:val="20"/>
                <w:lang w:eastAsia="en-US"/>
              </w:rPr>
              <w:t>maja 2016</w:t>
            </w:r>
            <w:r>
              <w:rPr>
                <w:rFonts w:ascii="Arial" w:eastAsia="Cambria" w:hAnsi="Arial" w:cs="Arial"/>
                <w:b/>
                <w:bCs/>
                <w:sz w:val="20"/>
                <w:szCs w:val="20"/>
                <w:lang w:eastAsia="en-US"/>
              </w:rPr>
              <w:t> </w:t>
            </w:r>
            <w:r w:rsidRPr="00A42530">
              <w:rPr>
                <w:rFonts w:ascii="Arial" w:eastAsia="Cambria" w:hAnsi="Arial" w:cs="Arial"/>
                <w:b/>
                <w:bCs/>
                <w:sz w:val="20"/>
                <w:szCs w:val="20"/>
                <w:lang w:eastAsia="en-US"/>
              </w:rPr>
              <w:t xml:space="preserve">r., na </w:t>
            </w:r>
            <w:proofErr w:type="gramStart"/>
            <w:r w:rsidRPr="00A42530">
              <w:rPr>
                <w:rFonts w:ascii="Arial" w:eastAsia="Cambria" w:hAnsi="Arial" w:cs="Arial"/>
                <w:b/>
                <w:bCs/>
                <w:sz w:val="20"/>
                <w:szCs w:val="20"/>
                <w:lang w:eastAsia="en-US"/>
              </w:rPr>
              <w:t>podstawie którego</w:t>
            </w:r>
            <w:proofErr w:type="gramEnd"/>
            <w:r w:rsidRPr="00A42530">
              <w:rPr>
                <w:rFonts w:ascii="Arial" w:eastAsia="Cambria" w:hAnsi="Arial" w:cs="Arial"/>
                <w:b/>
                <w:bCs/>
                <w:sz w:val="20"/>
                <w:szCs w:val="20"/>
                <w:lang w:eastAsia="en-US"/>
              </w:rPr>
              <w:t xml:space="preserve"> zostało złożone zabezpieczenie w formie gwarancji, którego termin ważności upływa z dniem 28 lutego 2017r. Pozwolenie na chwilę obecną nie podlega ponownej ocenie.</w:t>
            </w:r>
          </w:p>
          <w:p w:rsidR="00A42530" w:rsidRPr="00A42530" w:rsidRDefault="00A42530" w:rsidP="00A42530">
            <w:pPr>
              <w:spacing w:before="120"/>
              <w:jc w:val="both"/>
              <w:rPr>
                <w:rFonts w:ascii="Arial" w:eastAsia="Cambria" w:hAnsi="Arial" w:cs="Arial"/>
                <w:sz w:val="20"/>
                <w:szCs w:val="20"/>
                <w:lang w:eastAsia="en-US"/>
              </w:rPr>
            </w:pPr>
            <w:r w:rsidRPr="00A42530">
              <w:rPr>
                <w:rFonts w:ascii="Arial" w:eastAsia="Cambria" w:hAnsi="Arial" w:cs="Arial"/>
                <w:sz w:val="20"/>
                <w:szCs w:val="20"/>
                <w:lang w:eastAsia="en-US"/>
              </w:rPr>
              <w:t xml:space="preserve">1. Czy ubiegając się u Gwaranta o przedłużenie terminu zabezpieczenia na kolejny okres, tj. od dnia 1 marca 2017r., na procedury/operacje celne, z których przedsiębiorca korzystał do dnia 1 maja 2016 r. i korzysta nadal, przedsiębiorca ten powinien wystąpić o wystawienie dokumentu gwarancyjnego zgodnego z nowym Zobowiązaniem Gwaranta stanowiącym wzór do rozporządzenia Ministra Rozwoju i Finansów z dnia 1 lutego 2017r. ( Dz. </w:t>
            </w:r>
            <w:proofErr w:type="gramStart"/>
            <w:r w:rsidRPr="00A42530">
              <w:rPr>
                <w:rFonts w:ascii="Arial" w:eastAsia="Cambria" w:hAnsi="Arial" w:cs="Arial"/>
                <w:sz w:val="20"/>
                <w:szCs w:val="20"/>
                <w:lang w:eastAsia="en-US"/>
              </w:rPr>
              <w:t xml:space="preserve">U. </w:t>
            </w:r>
            <w:proofErr w:type="gramEnd"/>
            <w:r w:rsidRPr="00A42530">
              <w:rPr>
                <w:rFonts w:ascii="Arial" w:eastAsia="Cambria" w:hAnsi="Arial" w:cs="Arial"/>
                <w:sz w:val="20"/>
                <w:szCs w:val="20"/>
                <w:lang w:eastAsia="en-US"/>
              </w:rPr>
              <w:t>z 2017r., poz</w:t>
            </w:r>
            <w:proofErr w:type="gramStart"/>
            <w:r w:rsidRPr="00A42530">
              <w:rPr>
                <w:rFonts w:ascii="Arial" w:eastAsia="Cambria" w:hAnsi="Arial" w:cs="Arial"/>
                <w:sz w:val="20"/>
                <w:szCs w:val="20"/>
                <w:lang w:eastAsia="en-US"/>
              </w:rPr>
              <w:t>. 214)? Czy</w:t>
            </w:r>
            <w:proofErr w:type="gramEnd"/>
            <w:r w:rsidRPr="00A42530">
              <w:rPr>
                <w:rFonts w:ascii="Arial" w:eastAsia="Cambria" w:hAnsi="Arial" w:cs="Arial"/>
                <w:sz w:val="20"/>
                <w:szCs w:val="20"/>
                <w:lang w:eastAsia="en-US"/>
              </w:rPr>
              <w:t xml:space="preserve"> gwarant może wystawić do starego jeszcze obowiązującego pozwolenia na stosowanie zabezpieczenia generalnego gwarancję na „starych” zasadach, w której podaje łączną kwotę dla</w:t>
            </w:r>
            <w:r w:rsidR="00437322">
              <w:rPr>
                <w:rFonts w:ascii="Arial" w:eastAsia="Cambria" w:hAnsi="Arial" w:cs="Arial"/>
                <w:sz w:val="20"/>
                <w:szCs w:val="20"/>
                <w:lang w:eastAsia="en-US"/>
              </w:rPr>
              <w:t> </w:t>
            </w:r>
            <w:r w:rsidRPr="00A42530">
              <w:rPr>
                <w:rFonts w:ascii="Arial" w:eastAsia="Cambria" w:hAnsi="Arial" w:cs="Arial"/>
                <w:sz w:val="20"/>
                <w:szCs w:val="20"/>
                <w:lang w:eastAsia="en-US"/>
              </w:rPr>
              <w:t>wszystkich procedur/operacji, które zostały ujęte w „starej</w:t>
            </w:r>
            <w:r w:rsidR="00056694">
              <w:rPr>
                <w:rFonts w:ascii="Arial" w:eastAsia="Cambria" w:hAnsi="Arial" w:cs="Arial"/>
                <w:sz w:val="20"/>
                <w:szCs w:val="20"/>
                <w:lang w:eastAsia="en-US"/>
              </w:rPr>
              <w:t>”</w:t>
            </w:r>
            <w:r w:rsidRPr="00A42530">
              <w:rPr>
                <w:rFonts w:ascii="Arial" w:eastAsia="Cambria" w:hAnsi="Arial" w:cs="Arial"/>
                <w:sz w:val="20"/>
                <w:szCs w:val="20"/>
                <w:lang w:eastAsia="en-US"/>
              </w:rPr>
              <w:t xml:space="preserve"> gwarancji, aneksowanej w związku z wejściem </w:t>
            </w:r>
            <w:r w:rsidR="00056694">
              <w:rPr>
                <w:rFonts w:ascii="Arial" w:eastAsia="Cambria" w:hAnsi="Arial" w:cs="Arial"/>
                <w:sz w:val="20"/>
                <w:szCs w:val="20"/>
                <w:lang w:eastAsia="en-US"/>
              </w:rPr>
              <w:t xml:space="preserve">w życie </w:t>
            </w:r>
            <w:r w:rsidRPr="00A42530">
              <w:rPr>
                <w:rFonts w:ascii="Arial" w:eastAsia="Cambria" w:hAnsi="Arial" w:cs="Arial"/>
                <w:sz w:val="20"/>
                <w:szCs w:val="20"/>
                <w:lang w:eastAsia="en-US"/>
              </w:rPr>
              <w:t>w</w:t>
            </w:r>
            <w:r w:rsidR="00437322">
              <w:rPr>
                <w:rFonts w:ascii="Arial" w:eastAsia="Cambria" w:hAnsi="Arial" w:cs="Arial"/>
                <w:sz w:val="20"/>
                <w:szCs w:val="20"/>
                <w:lang w:eastAsia="en-US"/>
              </w:rPr>
              <w:t> </w:t>
            </w:r>
            <w:r w:rsidRPr="00A42530">
              <w:rPr>
                <w:rFonts w:ascii="Arial" w:eastAsia="Cambria" w:hAnsi="Arial" w:cs="Arial"/>
                <w:sz w:val="20"/>
                <w:szCs w:val="20"/>
                <w:lang w:eastAsia="en-US"/>
              </w:rPr>
              <w:t xml:space="preserve">dniu 1 maja 2016 r. unijnego kodeksu celnego? </w:t>
            </w:r>
          </w:p>
          <w:p w:rsidR="00A42530" w:rsidRPr="00A42530" w:rsidRDefault="00A42530" w:rsidP="00A42530">
            <w:pPr>
              <w:spacing w:before="120"/>
              <w:jc w:val="both"/>
              <w:rPr>
                <w:rFonts w:ascii="Arial" w:eastAsia="Cambria" w:hAnsi="Arial" w:cs="Arial"/>
                <w:sz w:val="20"/>
                <w:szCs w:val="20"/>
                <w:lang w:eastAsia="en-US"/>
              </w:rPr>
            </w:pPr>
            <w:r w:rsidRPr="00A42530">
              <w:rPr>
                <w:rFonts w:ascii="Arial" w:eastAsia="Cambria" w:hAnsi="Arial" w:cs="Arial"/>
                <w:sz w:val="20"/>
                <w:szCs w:val="20"/>
                <w:lang w:eastAsia="en-US"/>
              </w:rPr>
              <w:t>2. Czy w sytuacji opisanej powyżej, w Gwarancji wystawionej na „starych” zasadach lub w zobowiązaniu gwaranta zgodnym z wzorem do rozporządzenia Ministra Rozwoju i Finansów z dnia 1 lutego 2017</w:t>
            </w:r>
            <w:r w:rsidR="00437322">
              <w:rPr>
                <w:rFonts w:ascii="Arial" w:eastAsia="Cambria" w:hAnsi="Arial" w:cs="Arial"/>
                <w:sz w:val="20"/>
                <w:szCs w:val="20"/>
                <w:lang w:eastAsia="en-US"/>
              </w:rPr>
              <w:t xml:space="preserve"> </w:t>
            </w:r>
            <w:r w:rsidRPr="00A42530">
              <w:rPr>
                <w:rFonts w:ascii="Arial" w:eastAsia="Cambria" w:hAnsi="Arial" w:cs="Arial"/>
                <w:sz w:val="20"/>
                <w:szCs w:val="20"/>
                <w:lang w:eastAsia="en-US"/>
              </w:rPr>
              <w:t>r., jako beneficjent dla</w:t>
            </w:r>
            <w:r w:rsidR="00437322">
              <w:rPr>
                <w:rFonts w:ascii="Arial" w:eastAsia="Cambria" w:hAnsi="Arial" w:cs="Arial"/>
                <w:sz w:val="20"/>
                <w:szCs w:val="20"/>
                <w:lang w:eastAsia="en-US"/>
              </w:rPr>
              <w:t> </w:t>
            </w:r>
            <w:r w:rsidRPr="00A42530">
              <w:rPr>
                <w:rFonts w:ascii="Arial" w:eastAsia="Cambria" w:hAnsi="Arial" w:cs="Arial"/>
                <w:sz w:val="20"/>
                <w:szCs w:val="20"/>
                <w:lang w:eastAsia="en-US"/>
              </w:rPr>
              <w:t xml:space="preserve">zabezpieczenia generalnego </w:t>
            </w:r>
            <w:r w:rsidRPr="00A42530">
              <w:rPr>
                <w:rFonts w:ascii="Arial" w:eastAsia="Cambria" w:hAnsi="Arial" w:cs="Arial"/>
                <w:bCs/>
                <w:sz w:val="20"/>
                <w:szCs w:val="20"/>
                <w:lang w:eastAsia="en-US"/>
              </w:rPr>
              <w:t>obowiązującego od dnia 1 marca 2017</w:t>
            </w:r>
            <w:r w:rsidR="00437322">
              <w:rPr>
                <w:rFonts w:ascii="Arial" w:eastAsia="Cambria" w:hAnsi="Arial" w:cs="Arial"/>
                <w:bCs/>
                <w:sz w:val="20"/>
                <w:szCs w:val="20"/>
                <w:lang w:eastAsia="en-US"/>
              </w:rPr>
              <w:t xml:space="preserve"> </w:t>
            </w:r>
            <w:r w:rsidRPr="00A42530">
              <w:rPr>
                <w:rFonts w:ascii="Arial" w:eastAsia="Cambria" w:hAnsi="Arial" w:cs="Arial"/>
                <w:bCs/>
                <w:sz w:val="20"/>
                <w:szCs w:val="20"/>
                <w:lang w:eastAsia="en-US"/>
              </w:rPr>
              <w:t>r.</w:t>
            </w:r>
            <w:r w:rsidRPr="00A42530">
              <w:rPr>
                <w:rFonts w:ascii="Arial" w:eastAsia="Cambria" w:hAnsi="Arial" w:cs="Arial"/>
                <w:sz w:val="20"/>
                <w:szCs w:val="20"/>
                <w:lang w:eastAsia="en-US"/>
              </w:rPr>
              <w:t xml:space="preserve"> powinien być wskazany Dyrektor Izby Celnej w Szczecinie, czy Naczelnik Trzeciego Urzędu Skarbowego w Szczecinie?</w:t>
            </w:r>
          </w:p>
          <w:p w:rsidR="00036A14" w:rsidRPr="00036A14" w:rsidRDefault="00A42530" w:rsidP="00A42530">
            <w:pPr>
              <w:spacing w:before="120" w:after="120"/>
              <w:jc w:val="both"/>
              <w:rPr>
                <w:rFonts w:ascii="Arial" w:hAnsi="Arial" w:cs="Arial"/>
                <w:b/>
                <w:sz w:val="22"/>
                <w:szCs w:val="22"/>
              </w:rPr>
            </w:pPr>
            <w:r w:rsidRPr="00A42530">
              <w:rPr>
                <w:rFonts w:ascii="Arial" w:eastAsia="Cambria" w:hAnsi="Arial" w:cs="Arial"/>
                <w:sz w:val="20"/>
                <w:szCs w:val="20"/>
                <w:lang w:eastAsia="en-US"/>
              </w:rPr>
              <w:t>Zakładając ciągłość korzystania z zabezpieczenia generalnego zachodzi konieczność wydania do dnia 28 lutego 2017 r. potwierdzenia złożenia zabezpieczenia generalnego (z numerem GRN) na podstawie przedłożonego przez przedsiębiorcę dokumentu gwarancyjnego ze wskazaniem właściwego beneficjenta. Powyższe jest równoznaczne z zarejestrowaniem „Potwierdzenia złożenia zabezpieczenia generalnego” w systemie OSOZ2 z terminem obowiązywania od dnia 1 marca 2017r.</w:t>
            </w:r>
          </w:p>
        </w:tc>
      </w:tr>
      <w:tr w:rsidR="00A42530" w:rsidTr="0014628D">
        <w:trPr>
          <w:cantSplit/>
          <w:trHeight w:val="227"/>
        </w:trPr>
        <w:tc>
          <w:tcPr>
            <w:tcW w:w="10420" w:type="dxa"/>
            <w:gridSpan w:val="3"/>
            <w:vAlign w:val="center"/>
          </w:tcPr>
          <w:p w:rsidR="00A42530" w:rsidRDefault="00A42530">
            <w:pPr>
              <w:rPr>
                <w:rFonts w:ascii="Arial" w:hAnsi="Arial"/>
                <w:b/>
                <w:sz w:val="20"/>
              </w:rPr>
            </w:pPr>
            <w:r>
              <w:rPr>
                <w:rFonts w:ascii="Arial" w:hAnsi="Arial"/>
                <w:b/>
                <w:sz w:val="20"/>
              </w:rPr>
              <w:t xml:space="preserve">Data ostatniej aktualizacji:    </w:t>
            </w:r>
          </w:p>
          <w:p w:rsidR="00A42530" w:rsidRDefault="00A42530" w:rsidP="00A42530">
            <w:pPr>
              <w:spacing w:after="120"/>
              <w:jc w:val="center"/>
              <w:rPr>
                <w:rFonts w:ascii="Arial" w:hAnsi="Arial"/>
                <w:sz w:val="20"/>
              </w:rPr>
            </w:pPr>
            <w:r>
              <w:rPr>
                <w:rFonts w:ascii="Arial" w:hAnsi="Arial"/>
                <w:sz w:val="20"/>
              </w:rPr>
              <w:t xml:space="preserve">17.02.2017 </w:t>
            </w:r>
            <w:proofErr w:type="gramStart"/>
            <w:r>
              <w:rPr>
                <w:rFonts w:ascii="Arial" w:hAnsi="Arial"/>
                <w:sz w:val="20"/>
              </w:rPr>
              <w:t>r</w:t>
            </w:r>
            <w:proofErr w:type="gramEnd"/>
            <w:r>
              <w:rPr>
                <w:rFonts w:ascii="Arial" w:hAnsi="Arial"/>
                <w:sz w:val="20"/>
              </w:rPr>
              <w:t>.</w:t>
            </w:r>
          </w:p>
        </w:tc>
      </w:tr>
      <w:tr w:rsidR="00056694" w:rsidTr="00CD729D">
        <w:trPr>
          <w:cantSplit/>
          <w:trHeight w:val="306"/>
        </w:trPr>
        <w:tc>
          <w:tcPr>
            <w:tcW w:w="3473" w:type="dxa"/>
          </w:tcPr>
          <w:p w:rsidR="00056694" w:rsidRDefault="00056694">
            <w:pPr>
              <w:rPr>
                <w:rFonts w:ascii="Arial" w:hAnsi="Arial"/>
                <w:b/>
                <w:sz w:val="20"/>
              </w:rPr>
            </w:pPr>
            <w:r>
              <w:rPr>
                <w:rFonts w:ascii="Arial" w:hAnsi="Arial"/>
                <w:b/>
                <w:sz w:val="20"/>
              </w:rPr>
              <w:t xml:space="preserve">Departament odpowiedzialny za zagadnienie: </w:t>
            </w:r>
          </w:p>
          <w:p w:rsidR="00056694" w:rsidRDefault="00056694">
            <w:pPr>
              <w:rPr>
                <w:rFonts w:ascii="Arial" w:hAnsi="Arial"/>
                <w:b/>
                <w:sz w:val="20"/>
              </w:rPr>
            </w:pPr>
          </w:p>
          <w:p w:rsidR="00056694" w:rsidRDefault="00056694">
            <w:pPr>
              <w:rPr>
                <w:rFonts w:ascii="Arial" w:hAnsi="Arial"/>
                <w:sz w:val="22"/>
              </w:rPr>
            </w:pPr>
            <w:r>
              <w:rPr>
                <w:rFonts w:ascii="Arial" w:hAnsi="Arial"/>
                <w:sz w:val="22"/>
              </w:rPr>
              <w:t>Departament Ceł</w:t>
            </w:r>
          </w:p>
          <w:p w:rsidR="00056694" w:rsidRDefault="00056694">
            <w:pPr>
              <w:rPr>
                <w:rFonts w:ascii="Calibri" w:hAnsi="Calibri"/>
                <w:i/>
                <w:sz w:val="20"/>
              </w:rPr>
            </w:pPr>
          </w:p>
        </w:tc>
        <w:tc>
          <w:tcPr>
            <w:tcW w:w="6947" w:type="dxa"/>
            <w:gridSpan w:val="2"/>
          </w:tcPr>
          <w:p w:rsidR="00056694" w:rsidRDefault="00056694">
            <w:pPr>
              <w:rPr>
                <w:rFonts w:ascii="Arial" w:hAnsi="Arial"/>
                <w:b/>
                <w:sz w:val="20"/>
              </w:rPr>
            </w:pPr>
            <w:r>
              <w:rPr>
                <w:rFonts w:ascii="Arial" w:hAnsi="Arial"/>
                <w:b/>
                <w:sz w:val="20"/>
              </w:rPr>
              <w:t xml:space="preserve">Wydział odpowiedzialny za prowadzenie sprawy: </w:t>
            </w:r>
          </w:p>
          <w:p w:rsidR="00056694" w:rsidRDefault="00056694">
            <w:pPr>
              <w:rPr>
                <w:rFonts w:ascii="Arial" w:hAnsi="Arial"/>
                <w:b/>
                <w:sz w:val="20"/>
              </w:rPr>
            </w:pPr>
          </w:p>
          <w:p w:rsidR="00056694" w:rsidRDefault="00056694" w:rsidP="00056694">
            <w:pPr>
              <w:rPr>
                <w:rFonts w:ascii="Arial" w:hAnsi="Arial"/>
                <w:noProof/>
                <w:sz w:val="22"/>
              </w:rPr>
            </w:pPr>
          </w:p>
          <w:p w:rsidR="00056694" w:rsidRPr="00655614" w:rsidRDefault="00056694" w:rsidP="00056694">
            <w:pPr>
              <w:rPr>
                <w:rFonts w:ascii="Arial" w:hAnsi="Arial"/>
                <w:sz w:val="22"/>
                <w:szCs w:val="22"/>
              </w:rPr>
            </w:pPr>
            <w:r>
              <w:rPr>
                <w:rFonts w:ascii="Arial" w:hAnsi="Arial"/>
                <w:noProof/>
                <w:sz w:val="22"/>
              </w:rPr>
              <w:t>Wydział Należności i Zwolnień Celnych</w:t>
            </w:r>
          </w:p>
        </w:tc>
      </w:tr>
      <w:tr w:rsidR="00900084">
        <w:trPr>
          <w:cantSplit/>
          <w:trHeight w:val="306"/>
        </w:trPr>
        <w:tc>
          <w:tcPr>
            <w:tcW w:w="10420" w:type="dxa"/>
            <w:gridSpan w:val="3"/>
            <w:shd w:val="clear" w:color="auto" w:fill="808080"/>
            <w:vAlign w:val="center"/>
          </w:tcPr>
          <w:p w:rsidR="00900084" w:rsidRDefault="00900084">
            <w:pPr>
              <w:spacing w:before="120"/>
              <w:rPr>
                <w:rFonts w:ascii="Arial" w:hAnsi="Arial"/>
                <w:b/>
                <w:i/>
                <w:smallCaps/>
                <w:sz w:val="26"/>
              </w:rPr>
            </w:pPr>
            <w:r>
              <w:rPr>
                <w:rFonts w:ascii="Arial" w:hAnsi="Arial"/>
                <w:b/>
                <w:i/>
                <w:smallCaps/>
                <w:sz w:val="26"/>
              </w:rPr>
              <w:t>Stanowisko w sprawie</w:t>
            </w:r>
          </w:p>
        </w:tc>
      </w:tr>
      <w:tr w:rsidR="00900084" w:rsidTr="001D6F31">
        <w:trPr>
          <w:cantSplit/>
          <w:trHeight w:val="5316"/>
        </w:trPr>
        <w:tc>
          <w:tcPr>
            <w:tcW w:w="10420" w:type="dxa"/>
            <w:gridSpan w:val="3"/>
            <w:vAlign w:val="center"/>
          </w:tcPr>
          <w:p w:rsidR="00A42530" w:rsidRPr="00A42530" w:rsidRDefault="00A42530" w:rsidP="00A42530">
            <w:pPr>
              <w:spacing w:before="120"/>
              <w:jc w:val="both"/>
              <w:rPr>
                <w:rFonts w:ascii="Arial" w:eastAsia="Cambria" w:hAnsi="Arial" w:cs="Arial"/>
                <w:sz w:val="20"/>
                <w:szCs w:val="20"/>
              </w:rPr>
            </w:pPr>
            <w:r w:rsidRPr="00A42530">
              <w:rPr>
                <w:rFonts w:ascii="Arial" w:eastAsia="Cambria" w:hAnsi="Arial" w:cs="Arial"/>
                <w:sz w:val="20"/>
                <w:szCs w:val="20"/>
              </w:rPr>
              <w:t xml:space="preserve">Zgodnie z informacją umieszczoną na stronie </w:t>
            </w:r>
            <w:hyperlink r:id="rId8" w:history="1">
              <w:r w:rsidRPr="00A42530">
                <w:rPr>
                  <w:rFonts w:ascii="Arial" w:eastAsia="Cambria" w:hAnsi="Arial" w:cs="Arial"/>
                  <w:color w:val="0070C0"/>
                  <w:sz w:val="20"/>
                  <w:szCs w:val="20"/>
                  <w:u w:val="single"/>
                </w:rPr>
                <w:t>http://www.finanse.mf.gov.pl/clo/unijny-kodeks-celny-wdrozenie/ukc</w:t>
              </w:r>
            </w:hyperlink>
            <w:r>
              <w:rPr>
                <w:rFonts w:ascii="Arial" w:eastAsia="Cambria" w:hAnsi="Arial" w:cs="Arial"/>
                <w:sz w:val="20"/>
                <w:szCs w:val="20"/>
                <w:u w:val="single"/>
              </w:rPr>
              <w:t xml:space="preserve"> </w:t>
            </w:r>
            <w:r w:rsidRPr="00A42530">
              <w:rPr>
                <w:rFonts w:ascii="Arial" w:eastAsia="Cambria" w:hAnsi="Arial" w:cs="Arial"/>
                <w:sz w:val="20"/>
                <w:szCs w:val="20"/>
              </w:rPr>
              <w:t xml:space="preserve">pod linkiem „Zabezpieczenie długu celnego”, w przypadku pozwoleń na złożenie zabezpieczenia generalnego, które zachowały ważność po </w:t>
            </w:r>
            <w:r w:rsidR="00056694">
              <w:rPr>
                <w:rFonts w:ascii="Arial" w:eastAsia="Cambria" w:hAnsi="Arial" w:cs="Arial"/>
                <w:sz w:val="20"/>
                <w:szCs w:val="20"/>
              </w:rPr>
              <w:t xml:space="preserve">dniu </w:t>
            </w:r>
            <w:r w:rsidRPr="00A42530">
              <w:rPr>
                <w:rFonts w:ascii="Arial" w:eastAsia="Cambria" w:hAnsi="Arial" w:cs="Arial"/>
                <w:sz w:val="20"/>
                <w:szCs w:val="20"/>
              </w:rPr>
              <w:t xml:space="preserve">30 kwietnia 2016 r., termin ważności gwarancji bankowych i ubezpieczeniowych złożonych przed </w:t>
            </w:r>
            <w:r w:rsidR="00F65A1C">
              <w:rPr>
                <w:rFonts w:ascii="Arial" w:eastAsia="Cambria" w:hAnsi="Arial" w:cs="Arial"/>
                <w:sz w:val="20"/>
                <w:szCs w:val="20"/>
              </w:rPr>
              <w:t xml:space="preserve">dniem </w:t>
            </w:r>
            <w:r w:rsidRPr="00A42530">
              <w:rPr>
                <w:rFonts w:ascii="Arial" w:eastAsia="Cambria" w:hAnsi="Arial" w:cs="Arial"/>
                <w:sz w:val="20"/>
                <w:szCs w:val="20"/>
              </w:rPr>
              <w:t xml:space="preserve">1 maja 2016 r. może być przedłużany do czasu wygaśnięcia powyższych pozwoleń, nie dłużej jednak niż do </w:t>
            </w:r>
            <w:r w:rsidR="00F65A1C">
              <w:rPr>
                <w:rFonts w:ascii="Arial" w:eastAsia="Cambria" w:hAnsi="Arial" w:cs="Arial"/>
                <w:sz w:val="20"/>
                <w:szCs w:val="20"/>
              </w:rPr>
              <w:t xml:space="preserve">dnia </w:t>
            </w:r>
            <w:r w:rsidRPr="00A42530">
              <w:rPr>
                <w:rFonts w:ascii="Arial" w:eastAsia="Cambria" w:hAnsi="Arial" w:cs="Arial"/>
                <w:sz w:val="20"/>
                <w:szCs w:val="20"/>
              </w:rPr>
              <w:t>1 maja 2019 r.</w:t>
            </w:r>
          </w:p>
          <w:p w:rsidR="00A42530" w:rsidRPr="00A42530" w:rsidRDefault="00A42530" w:rsidP="00A42530">
            <w:pPr>
              <w:spacing w:before="120"/>
              <w:jc w:val="both"/>
              <w:rPr>
                <w:rFonts w:ascii="Arial" w:eastAsia="Cambria" w:hAnsi="Arial" w:cs="Arial"/>
                <w:sz w:val="20"/>
                <w:szCs w:val="20"/>
              </w:rPr>
            </w:pPr>
            <w:r w:rsidRPr="00A42530">
              <w:rPr>
                <w:rFonts w:ascii="Arial" w:eastAsia="Cambria" w:hAnsi="Arial" w:cs="Arial"/>
                <w:sz w:val="20"/>
                <w:szCs w:val="20"/>
              </w:rPr>
              <w:t xml:space="preserve">Termin ważności tych gwarancji </w:t>
            </w:r>
            <w:proofErr w:type="gramStart"/>
            <w:r w:rsidRPr="00A42530">
              <w:rPr>
                <w:rFonts w:ascii="Arial" w:eastAsia="Cambria" w:hAnsi="Arial" w:cs="Arial"/>
                <w:sz w:val="20"/>
                <w:szCs w:val="20"/>
              </w:rPr>
              <w:t>będzie więc</w:t>
            </w:r>
            <w:proofErr w:type="gramEnd"/>
            <w:r w:rsidRPr="00A42530">
              <w:rPr>
                <w:rFonts w:ascii="Arial" w:eastAsia="Cambria" w:hAnsi="Arial" w:cs="Arial"/>
                <w:sz w:val="20"/>
                <w:szCs w:val="20"/>
              </w:rPr>
              <w:t xml:space="preserve"> można przedłużać również po </w:t>
            </w:r>
            <w:r w:rsidR="00056694">
              <w:rPr>
                <w:rFonts w:ascii="Arial" w:eastAsia="Cambria" w:hAnsi="Arial" w:cs="Arial"/>
                <w:sz w:val="20"/>
                <w:szCs w:val="20"/>
              </w:rPr>
              <w:t xml:space="preserve">dniu </w:t>
            </w:r>
            <w:r w:rsidRPr="00A42530">
              <w:rPr>
                <w:rFonts w:ascii="Arial" w:eastAsia="Cambria" w:hAnsi="Arial" w:cs="Arial"/>
                <w:sz w:val="20"/>
                <w:szCs w:val="20"/>
              </w:rPr>
              <w:t xml:space="preserve">28 lutym 2017 r., w drodze aneksu określającego nowy termin ważności gwarancji. Z uwagi na fakt, iż w „starej” </w:t>
            </w:r>
            <w:proofErr w:type="gramStart"/>
            <w:r w:rsidRPr="00A42530">
              <w:rPr>
                <w:rFonts w:ascii="Arial" w:eastAsia="Cambria" w:hAnsi="Arial" w:cs="Arial"/>
                <w:sz w:val="20"/>
                <w:szCs w:val="20"/>
              </w:rPr>
              <w:t>gwarancji jako</w:t>
            </w:r>
            <w:proofErr w:type="gramEnd"/>
            <w:r w:rsidRPr="00A42530">
              <w:rPr>
                <w:rFonts w:ascii="Arial" w:eastAsia="Cambria" w:hAnsi="Arial" w:cs="Arial"/>
                <w:sz w:val="20"/>
                <w:szCs w:val="20"/>
              </w:rPr>
              <w:t xml:space="preserve"> jej beneficjent został wpisany jeden lub wielu dyrektorów izb celnych, to zgodnie z art. 235 ustawy z dnia 16 listopada 2016 r. - Przepisy wprowadzające ustawę o Krajowej Administracji Skarbowej (Dz. U. </w:t>
            </w:r>
            <w:proofErr w:type="gramStart"/>
            <w:r w:rsidRPr="00A42530">
              <w:rPr>
                <w:rFonts w:ascii="Arial" w:eastAsia="Cambria" w:hAnsi="Arial" w:cs="Arial"/>
                <w:sz w:val="20"/>
                <w:szCs w:val="20"/>
              </w:rPr>
              <w:t>poz</w:t>
            </w:r>
            <w:proofErr w:type="gramEnd"/>
            <w:r w:rsidRPr="00A42530">
              <w:rPr>
                <w:rFonts w:ascii="Arial" w:eastAsia="Cambria" w:hAnsi="Arial" w:cs="Arial"/>
                <w:sz w:val="20"/>
                <w:szCs w:val="20"/>
              </w:rPr>
              <w:t>. 1948 i 2255) w odniesieniu do praw i</w:t>
            </w:r>
            <w:r w:rsidR="00437322">
              <w:rPr>
                <w:rFonts w:ascii="Arial" w:eastAsia="Cambria" w:hAnsi="Arial" w:cs="Arial"/>
                <w:sz w:val="20"/>
                <w:szCs w:val="20"/>
              </w:rPr>
              <w:t> </w:t>
            </w:r>
            <w:r w:rsidRPr="00A42530">
              <w:rPr>
                <w:rFonts w:ascii="Arial" w:eastAsia="Cambria" w:hAnsi="Arial" w:cs="Arial"/>
                <w:sz w:val="20"/>
                <w:szCs w:val="20"/>
              </w:rPr>
              <w:t>obowiązków wynikających z gwarancji bankowych i ubezpieczeniowych złożonych przed dniem 1 marca 2017 r., w prawa i obowiązki tych dyrektorów izb celnych wstąpi naczelnik urzędu skarbowego określony zgodnie z</w:t>
            </w:r>
            <w:r w:rsidR="00437322">
              <w:rPr>
                <w:rFonts w:ascii="Arial" w:eastAsia="Cambria" w:hAnsi="Arial" w:cs="Arial"/>
                <w:sz w:val="20"/>
                <w:szCs w:val="20"/>
              </w:rPr>
              <w:t> </w:t>
            </w:r>
            <w:r w:rsidRPr="00A42530">
              <w:rPr>
                <w:rFonts w:ascii="Arial" w:eastAsia="Cambria" w:hAnsi="Arial" w:cs="Arial"/>
                <w:sz w:val="20"/>
                <w:szCs w:val="20"/>
              </w:rPr>
              <w:t>przepisami wydanymi na podstawie art. 5 § 4 ustawy z dnia 17 czerwca 1966 r. o postępowaniu egzekucyjnym w</w:t>
            </w:r>
            <w:r w:rsidR="00437322">
              <w:rPr>
                <w:rFonts w:ascii="Arial" w:eastAsia="Cambria" w:hAnsi="Arial" w:cs="Arial"/>
                <w:sz w:val="20"/>
                <w:szCs w:val="20"/>
              </w:rPr>
              <w:t> </w:t>
            </w:r>
            <w:r w:rsidRPr="00A42530">
              <w:rPr>
                <w:rFonts w:ascii="Arial" w:eastAsia="Cambria" w:hAnsi="Arial" w:cs="Arial"/>
                <w:sz w:val="20"/>
                <w:szCs w:val="20"/>
              </w:rPr>
              <w:t xml:space="preserve">administracji (Dz. U. </w:t>
            </w:r>
            <w:proofErr w:type="gramStart"/>
            <w:r w:rsidRPr="00A42530">
              <w:rPr>
                <w:rFonts w:ascii="Arial" w:eastAsia="Cambria" w:hAnsi="Arial" w:cs="Arial"/>
                <w:sz w:val="20"/>
                <w:szCs w:val="20"/>
              </w:rPr>
              <w:t>z</w:t>
            </w:r>
            <w:proofErr w:type="gramEnd"/>
            <w:r w:rsidRPr="00A42530">
              <w:rPr>
                <w:rFonts w:ascii="Arial" w:eastAsia="Cambria" w:hAnsi="Arial" w:cs="Arial"/>
                <w:sz w:val="20"/>
                <w:szCs w:val="20"/>
              </w:rPr>
              <w:t xml:space="preserve"> 2016 r. poz. 599, z </w:t>
            </w:r>
            <w:proofErr w:type="spellStart"/>
            <w:r w:rsidRPr="00A42530">
              <w:rPr>
                <w:rFonts w:ascii="Arial" w:eastAsia="Cambria" w:hAnsi="Arial" w:cs="Arial"/>
                <w:sz w:val="20"/>
                <w:szCs w:val="20"/>
              </w:rPr>
              <w:t>późn</w:t>
            </w:r>
            <w:proofErr w:type="spellEnd"/>
            <w:r w:rsidRPr="00A42530">
              <w:rPr>
                <w:rFonts w:ascii="Arial" w:eastAsia="Cambria" w:hAnsi="Arial" w:cs="Arial"/>
                <w:sz w:val="20"/>
                <w:szCs w:val="20"/>
              </w:rPr>
              <w:t xml:space="preserve">. </w:t>
            </w:r>
            <w:proofErr w:type="gramStart"/>
            <w:r w:rsidRPr="00A42530">
              <w:rPr>
                <w:rFonts w:ascii="Arial" w:eastAsia="Cambria" w:hAnsi="Arial" w:cs="Arial"/>
                <w:sz w:val="20"/>
                <w:szCs w:val="20"/>
              </w:rPr>
              <w:t>zm</w:t>
            </w:r>
            <w:proofErr w:type="gramEnd"/>
            <w:r w:rsidRPr="00A42530">
              <w:rPr>
                <w:rFonts w:ascii="Arial" w:eastAsia="Cambria" w:hAnsi="Arial" w:cs="Arial"/>
                <w:sz w:val="20"/>
                <w:szCs w:val="20"/>
              </w:rPr>
              <w:t>.).</w:t>
            </w:r>
          </w:p>
          <w:p w:rsidR="001D6F31" w:rsidRPr="00A42530" w:rsidRDefault="001D6F31" w:rsidP="001D6F31">
            <w:pPr>
              <w:spacing w:before="120"/>
              <w:jc w:val="both"/>
              <w:rPr>
                <w:rFonts w:ascii="Arial" w:eastAsia="Cambria" w:hAnsi="Arial" w:cs="Arial"/>
                <w:sz w:val="20"/>
                <w:szCs w:val="20"/>
              </w:rPr>
            </w:pPr>
            <w:r w:rsidRPr="00A42530">
              <w:rPr>
                <w:rFonts w:ascii="Arial" w:eastAsia="Cambria" w:hAnsi="Arial" w:cs="Arial"/>
                <w:b/>
                <w:sz w:val="20"/>
                <w:szCs w:val="20"/>
              </w:rPr>
              <w:t xml:space="preserve">Gdyby jednak gwarant </w:t>
            </w:r>
            <w:r>
              <w:rPr>
                <w:rFonts w:ascii="Arial" w:eastAsia="Cambria" w:hAnsi="Arial" w:cs="Arial"/>
                <w:b/>
                <w:sz w:val="20"/>
                <w:szCs w:val="20"/>
              </w:rPr>
              <w:t>postanowił</w:t>
            </w:r>
            <w:r w:rsidRPr="00A42530">
              <w:rPr>
                <w:rFonts w:ascii="Arial" w:eastAsia="Cambria" w:hAnsi="Arial" w:cs="Arial"/>
                <w:sz w:val="20"/>
                <w:szCs w:val="20"/>
              </w:rPr>
              <w:t>, że zamiast aneksowania starej gwarancji w zakresie terminu jej ważności zechce złożyć w całości gwarancję wg starego wzoru, oczywiście z uwzględnieniem niezbędnych zmian w</w:t>
            </w:r>
            <w:r w:rsidR="00437322">
              <w:rPr>
                <w:rFonts w:ascii="Arial" w:eastAsia="Cambria" w:hAnsi="Arial" w:cs="Arial"/>
                <w:sz w:val="20"/>
                <w:szCs w:val="20"/>
              </w:rPr>
              <w:t> </w:t>
            </w:r>
            <w:r w:rsidRPr="00A42530">
              <w:rPr>
                <w:rFonts w:ascii="Arial" w:eastAsia="Cambria" w:hAnsi="Arial" w:cs="Arial"/>
                <w:sz w:val="20"/>
                <w:szCs w:val="20"/>
              </w:rPr>
              <w:t>przywoływaniu przepisów UKC zamiast WKC i z zapisem o kontynuacji swej odpowiedzialności z gwarancji, której termin ważności właśnie upływa – wówczas w miejscu, w którym we wzorze jest zapis:</w:t>
            </w:r>
          </w:p>
          <w:p w:rsidR="001D6F31" w:rsidRPr="00A42530" w:rsidRDefault="001D6F31" w:rsidP="001D6F31">
            <w:pPr>
              <w:spacing w:before="120"/>
              <w:jc w:val="both"/>
              <w:rPr>
                <w:rFonts w:ascii="Arial" w:eastAsia="Cambria" w:hAnsi="Arial" w:cs="Arial"/>
                <w:b/>
                <w:sz w:val="20"/>
                <w:szCs w:val="20"/>
              </w:rPr>
            </w:pPr>
            <w:r w:rsidRPr="00A42530">
              <w:rPr>
                <w:rFonts w:ascii="Arial" w:eastAsia="Cambria" w:hAnsi="Arial" w:cs="Arial"/>
                <w:b/>
                <w:sz w:val="20"/>
                <w:szCs w:val="20"/>
              </w:rPr>
              <w:t xml:space="preserve">Beneficjent gwarancji: Dyrektor Izby Celnej </w:t>
            </w:r>
            <w:proofErr w:type="gramStart"/>
            <w:r w:rsidRPr="00A42530">
              <w:rPr>
                <w:rFonts w:ascii="Arial" w:eastAsia="Cambria" w:hAnsi="Arial" w:cs="Arial"/>
                <w:b/>
                <w:sz w:val="20"/>
                <w:szCs w:val="20"/>
              </w:rPr>
              <w:t>w .................................................</w:t>
            </w:r>
            <w:proofErr w:type="gramEnd"/>
            <w:r w:rsidRPr="00A42530">
              <w:rPr>
                <w:rFonts w:ascii="Arial" w:eastAsia="Cambria" w:hAnsi="Arial" w:cs="Arial"/>
                <w:b/>
                <w:sz w:val="20"/>
                <w:szCs w:val="20"/>
              </w:rPr>
              <w:t>.....</w:t>
            </w:r>
          </w:p>
          <w:p w:rsidR="001D6F31" w:rsidRPr="00A42530" w:rsidRDefault="001D6F31" w:rsidP="001D6F31">
            <w:pPr>
              <w:spacing w:before="120"/>
              <w:jc w:val="both"/>
              <w:rPr>
                <w:rFonts w:ascii="Arial" w:eastAsia="Cambria" w:hAnsi="Arial" w:cs="Arial"/>
                <w:sz w:val="20"/>
                <w:szCs w:val="20"/>
              </w:rPr>
            </w:pPr>
            <w:proofErr w:type="gramStart"/>
            <w:r w:rsidRPr="00A42530">
              <w:rPr>
                <w:rFonts w:ascii="Arial" w:eastAsia="Cambria" w:hAnsi="Arial" w:cs="Arial"/>
                <w:sz w:val="20"/>
                <w:szCs w:val="20"/>
              </w:rPr>
              <w:t>winien</w:t>
            </w:r>
            <w:proofErr w:type="gramEnd"/>
            <w:r w:rsidRPr="00A42530">
              <w:rPr>
                <w:rFonts w:ascii="Arial" w:eastAsia="Cambria" w:hAnsi="Arial" w:cs="Arial"/>
                <w:sz w:val="20"/>
                <w:szCs w:val="20"/>
              </w:rPr>
              <w:t xml:space="preserve"> wpisać formułę:</w:t>
            </w:r>
          </w:p>
          <w:p w:rsidR="001D6F31" w:rsidRPr="00A42530" w:rsidRDefault="001D6F31" w:rsidP="001D6F31">
            <w:pPr>
              <w:spacing w:before="120"/>
              <w:jc w:val="both"/>
              <w:rPr>
                <w:rFonts w:ascii="Arial" w:eastAsia="Cambria" w:hAnsi="Arial" w:cs="Arial"/>
                <w:sz w:val="20"/>
                <w:szCs w:val="20"/>
              </w:rPr>
            </w:pPr>
            <w:r w:rsidRPr="00A42530">
              <w:rPr>
                <w:rFonts w:ascii="Arial" w:eastAsia="Cambria" w:hAnsi="Arial" w:cs="Arial"/>
                <w:b/>
                <w:sz w:val="20"/>
                <w:szCs w:val="20"/>
              </w:rPr>
              <w:t>Beneficjent gwarancji: Skarb Państwa reprezentowany przez właściwy organ będący wierzycielem należności</w:t>
            </w:r>
            <w:r w:rsidRPr="00F65A1C">
              <w:rPr>
                <w:rFonts w:ascii="Arial" w:eastAsia="Cambria" w:hAnsi="Arial" w:cs="Arial"/>
                <w:sz w:val="20"/>
                <w:szCs w:val="20"/>
                <w:vertAlign w:val="superscript"/>
              </w:rPr>
              <w:t>[1]</w:t>
            </w:r>
            <w:r w:rsidRPr="00A42530">
              <w:rPr>
                <w:rFonts w:ascii="Arial" w:eastAsia="Cambria" w:hAnsi="Arial" w:cs="Arial"/>
                <w:b/>
                <w:sz w:val="20"/>
                <w:szCs w:val="20"/>
              </w:rPr>
              <w:t>, objętych niniejszą gwarancją, zwany dalej „Beneficjentem</w:t>
            </w:r>
            <w:r w:rsidRPr="00A42530">
              <w:rPr>
                <w:rFonts w:ascii="Arial" w:eastAsia="Cambria" w:hAnsi="Arial" w:cs="Arial"/>
                <w:sz w:val="20"/>
                <w:szCs w:val="20"/>
              </w:rPr>
              <w:t>”</w:t>
            </w:r>
          </w:p>
          <w:p w:rsidR="001D6F31" w:rsidRPr="00A42530" w:rsidRDefault="00F65A1C" w:rsidP="001D6F31">
            <w:pPr>
              <w:jc w:val="both"/>
              <w:rPr>
                <w:rFonts w:ascii="Arial" w:eastAsia="Cambria" w:hAnsi="Arial" w:cs="Arial"/>
                <w:sz w:val="18"/>
                <w:szCs w:val="18"/>
              </w:rPr>
            </w:pPr>
            <w:r>
              <w:rPr>
                <w:rFonts w:ascii="Arial" w:eastAsia="Cambria" w:hAnsi="Arial" w:cs="Arial"/>
                <w:sz w:val="18"/>
                <w:szCs w:val="18"/>
                <w:vertAlign w:val="superscript"/>
              </w:rPr>
              <w:t>[1]</w:t>
            </w:r>
            <w:r w:rsidR="001D6F31" w:rsidRPr="00A42530">
              <w:rPr>
                <w:rFonts w:ascii="Arial" w:eastAsia="Cambria" w:hAnsi="Arial" w:cs="Arial"/>
                <w:sz w:val="18"/>
                <w:szCs w:val="18"/>
              </w:rPr>
              <w:t xml:space="preserve"> Zgodnie z przepisami ustawy z dnia 17 czerwca 1966 r. o postępowaniu egzekucyjnym w administracji (Dz. U. </w:t>
            </w:r>
            <w:proofErr w:type="gramStart"/>
            <w:r w:rsidR="001D6F31" w:rsidRPr="00A42530">
              <w:rPr>
                <w:rFonts w:ascii="Arial" w:eastAsia="Cambria" w:hAnsi="Arial" w:cs="Arial"/>
                <w:sz w:val="18"/>
                <w:szCs w:val="18"/>
              </w:rPr>
              <w:t>z</w:t>
            </w:r>
            <w:proofErr w:type="gramEnd"/>
            <w:r w:rsidR="001D6F31" w:rsidRPr="00A42530">
              <w:rPr>
                <w:rFonts w:ascii="Arial" w:eastAsia="Cambria" w:hAnsi="Arial" w:cs="Arial"/>
                <w:sz w:val="18"/>
                <w:szCs w:val="18"/>
              </w:rPr>
              <w:t xml:space="preserve"> 2016 r. poz. 599, z </w:t>
            </w:r>
            <w:proofErr w:type="spellStart"/>
            <w:r w:rsidR="001D6F31" w:rsidRPr="00A42530">
              <w:rPr>
                <w:rFonts w:ascii="Arial" w:eastAsia="Cambria" w:hAnsi="Arial" w:cs="Arial"/>
                <w:sz w:val="18"/>
                <w:szCs w:val="18"/>
              </w:rPr>
              <w:t>późn</w:t>
            </w:r>
            <w:proofErr w:type="spellEnd"/>
            <w:r w:rsidR="001D6F31" w:rsidRPr="00A42530">
              <w:rPr>
                <w:rFonts w:ascii="Arial" w:eastAsia="Cambria" w:hAnsi="Arial" w:cs="Arial"/>
                <w:sz w:val="18"/>
                <w:szCs w:val="18"/>
              </w:rPr>
              <w:t xml:space="preserve">. </w:t>
            </w:r>
            <w:proofErr w:type="gramStart"/>
            <w:r w:rsidR="001D6F31" w:rsidRPr="00A42530">
              <w:rPr>
                <w:rFonts w:ascii="Arial" w:eastAsia="Cambria" w:hAnsi="Arial" w:cs="Arial"/>
                <w:sz w:val="18"/>
                <w:szCs w:val="18"/>
              </w:rPr>
              <w:t>zm</w:t>
            </w:r>
            <w:proofErr w:type="gramEnd"/>
            <w:r w:rsidR="001D6F31" w:rsidRPr="00A42530">
              <w:rPr>
                <w:rFonts w:ascii="Arial" w:eastAsia="Cambria" w:hAnsi="Arial" w:cs="Arial"/>
                <w:sz w:val="18"/>
                <w:szCs w:val="18"/>
              </w:rPr>
              <w:t>.).</w:t>
            </w:r>
          </w:p>
          <w:p w:rsidR="001D6F31" w:rsidRPr="00A42530" w:rsidRDefault="001D6F31" w:rsidP="001D6F31">
            <w:pPr>
              <w:spacing w:before="120"/>
              <w:jc w:val="both"/>
              <w:rPr>
                <w:rFonts w:ascii="Arial" w:eastAsia="Cambria" w:hAnsi="Arial" w:cs="Arial"/>
                <w:sz w:val="20"/>
                <w:szCs w:val="20"/>
              </w:rPr>
            </w:pPr>
            <w:r w:rsidRPr="00A42530">
              <w:rPr>
                <w:rFonts w:ascii="Arial" w:eastAsia="Cambria" w:hAnsi="Arial" w:cs="Arial"/>
                <w:sz w:val="20"/>
                <w:szCs w:val="20"/>
              </w:rPr>
              <w:t>Nie ma jednak konieczności składania nowej gwarancji, jeżeli będzie to ten sam gwarant, wystarczy sam aneks w</w:t>
            </w:r>
            <w:r w:rsidR="00437322">
              <w:rPr>
                <w:rFonts w:ascii="Arial" w:eastAsia="Cambria" w:hAnsi="Arial" w:cs="Arial"/>
                <w:sz w:val="20"/>
                <w:szCs w:val="20"/>
              </w:rPr>
              <w:t> </w:t>
            </w:r>
            <w:r w:rsidRPr="00A42530">
              <w:rPr>
                <w:rFonts w:ascii="Arial" w:eastAsia="Cambria" w:hAnsi="Arial" w:cs="Arial"/>
                <w:sz w:val="20"/>
                <w:szCs w:val="20"/>
              </w:rPr>
              <w:t>zakresie terminu ważności.</w:t>
            </w:r>
          </w:p>
          <w:p w:rsidR="00900084" w:rsidRDefault="00A42530" w:rsidP="00A42530">
            <w:pPr>
              <w:spacing w:after="120"/>
              <w:jc w:val="both"/>
              <w:rPr>
                <w:rFonts w:ascii="Arial" w:hAnsi="Arial"/>
                <w:b/>
                <w:smallCaps/>
                <w:sz w:val="22"/>
              </w:rPr>
            </w:pPr>
            <w:r w:rsidRPr="00A42530">
              <w:rPr>
                <w:rFonts w:ascii="Arial" w:eastAsia="Cambria" w:hAnsi="Arial" w:cs="Arial"/>
                <w:sz w:val="18"/>
                <w:szCs w:val="18"/>
              </w:rPr>
              <w:t xml:space="preserve"> </w:t>
            </w:r>
          </w:p>
        </w:tc>
      </w:tr>
      <w:tr w:rsidR="001D6F31" w:rsidTr="001D6F31">
        <w:trPr>
          <w:cantSplit/>
          <w:trHeight w:val="2115"/>
        </w:trPr>
        <w:tc>
          <w:tcPr>
            <w:tcW w:w="10420" w:type="dxa"/>
            <w:gridSpan w:val="3"/>
            <w:vAlign w:val="center"/>
          </w:tcPr>
          <w:p w:rsidR="001D6F31" w:rsidRPr="00A42530" w:rsidRDefault="001D6F31" w:rsidP="001D6F31">
            <w:pPr>
              <w:spacing w:before="120"/>
              <w:jc w:val="both"/>
              <w:rPr>
                <w:rFonts w:ascii="Arial" w:eastAsia="Cambria" w:hAnsi="Arial" w:cs="Arial"/>
                <w:sz w:val="20"/>
                <w:szCs w:val="20"/>
              </w:rPr>
            </w:pPr>
            <w:r w:rsidRPr="00A42530">
              <w:rPr>
                <w:rFonts w:ascii="Arial" w:eastAsia="Cambria" w:hAnsi="Arial" w:cs="Arial"/>
                <w:sz w:val="20"/>
                <w:szCs w:val="20"/>
              </w:rPr>
              <w:lastRenderedPageBreak/>
              <w:t>Jeżeli natomiast miałby to być inny gwarant niż dotychczas, to w gwarancji wystawianej wg starego wzoru, oczywiście z uwzględnieniem niezbędnych zmian w przywoływaniu przepisów UKC zamiast WKC i z zapisem o</w:t>
            </w:r>
            <w:r w:rsidR="00437322">
              <w:rPr>
                <w:rFonts w:ascii="Arial" w:eastAsia="Cambria" w:hAnsi="Arial" w:cs="Arial"/>
                <w:sz w:val="20"/>
                <w:szCs w:val="20"/>
              </w:rPr>
              <w:t> </w:t>
            </w:r>
            <w:r w:rsidRPr="00A42530">
              <w:rPr>
                <w:rFonts w:ascii="Arial" w:eastAsia="Cambria" w:hAnsi="Arial" w:cs="Arial"/>
                <w:sz w:val="20"/>
                <w:szCs w:val="20"/>
              </w:rPr>
              <w:t xml:space="preserve">kontynuacji odpowiedzialności poprzedniego gwaranta z gwarancji, jej beneficjenta należy </w:t>
            </w:r>
            <w:proofErr w:type="gramStart"/>
            <w:r w:rsidRPr="00A42530">
              <w:rPr>
                <w:rFonts w:ascii="Arial" w:eastAsia="Cambria" w:hAnsi="Arial" w:cs="Arial"/>
                <w:sz w:val="20"/>
                <w:szCs w:val="20"/>
              </w:rPr>
              <w:t>wskazać jako</w:t>
            </w:r>
            <w:proofErr w:type="gramEnd"/>
            <w:r w:rsidRPr="00A42530">
              <w:rPr>
                <w:rFonts w:ascii="Arial" w:eastAsia="Cambria" w:hAnsi="Arial" w:cs="Arial"/>
                <w:sz w:val="20"/>
                <w:szCs w:val="20"/>
              </w:rPr>
              <w:t>:</w:t>
            </w:r>
          </w:p>
          <w:p w:rsidR="001D6F31" w:rsidRPr="00A42530" w:rsidRDefault="001D6F31" w:rsidP="001D6F31">
            <w:pPr>
              <w:spacing w:before="120"/>
              <w:jc w:val="both"/>
              <w:rPr>
                <w:rFonts w:ascii="Arial" w:eastAsia="Cambria" w:hAnsi="Arial" w:cs="Arial"/>
                <w:sz w:val="20"/>
                <w:szCs w:val="20"/>
              </w:rPr>
            </w:pPr>
            <w:r w:rsidRPr="00A42530">
              <w:rPr>
                <w:rFonts w:ascii="Arial" w:eastAsia="Cambria" w:hAnsi="Arial" w:cs="Arial"/>
                <w:b/>
                <w:sz w:val="20"/>
                <w:szCs w:val="20"/>
              </w:rPr>
              <w:t>Skarb Państwa reprezentowany przez właściwy organ będący wierzycielem należności</w:t>
            </w:r>
            <w:r w:rsidRPr="00056694">
              <w:rPr>
                <w:rFonts w:ascii="Arial" w:eastAsia="Cambria" w:hAnsi="Arial" w:cs="Arial"/>
                <w:sz w:val="20"/>
                <w:szCs w:val="20"/>
                <w:vertAlign w:val="superscript"/>
              </w:rPr>
              <w:t>[1]</w:t>
            </w:r>
            <w:r w:rsidRPr="00A42530">
              <w:rPr>
                <w:rFonts w:ascii="Arial" w:eastAsia="Cambria" w:hAnsi="Arial" w:cs="Arial"/>
                <w:b/>
                <w:sz w:val="20"/>
                <w:szCs w:val="20"/>
              </w:rPr>
              <w:t>, objętych niniejszą gwarancją, zwany dalej „Beneficjentem”</w:t>
            </w:r>
          </w:p>
          <w:p w:rsidR="001D6F31" w:rsidRPr="00A42530" w:rsidRDefault="001D6F31" w:rsidP="00056694">
            <w:pPr>
              <w:spacing w:after="120"/>
              <w:jc w:val="both"/>
              <w:rPr>
                <w:rFonts w:ascii="Arial" w:eastAsia="Cambria" w:hAnsi="Arial" w:cs="Arial"/>
                <w:sz w:val="20"/>
                <w:szCs w:val="20"/>
              </w:rPr>
            </w:pPr>
            <w:r w:rsidRPr="00056694">
              <w:rPr>
                <w:rFonts w:ascii="Arial" w:eastAsia="Cambria" w:hAnsi="Arial" w:cs="Arial"/>
                <w:sz w:val="20"/>
                <w:szCs w:val="20"/>
                <w:vertAlign w:val="superscript"/>
              </w:rPr>
              <w:t>[</w:t>
            </w:r>
            <w:r w:rsidRPr="00056694">
              <w:rPr>
                <w:rFonts w:ascii="Arial" w:eastAsia="Cambria" w:hAnsi="Arial" w:cs="Arial"/>
                <w:sz w:val="18"/>
                <w:szCs w:val="18"/>
                <w:vertAlign w:val="superscript"/>
              </w:rPr>
              <w:t>1]</w:t>
            </w:r>
            <w:r w:rsidRPr="00A42530">
              <w:rPr>
                <w:rFonts w:ascii="Arial" w:eastAsia="Cambria" w:hAnsi="Arial" w:cs="Arial"/>
                <w:sz w:val="18"/>
                <w:szCs w:val="18"/>
              </w:rPr>
              <w:t xml:space="preserve"> Zgodnie z przepisami ustawy z dnia 17 czerwca 1966 r. o postępowaniu egzekucyjnym w administracji (Dz. U. </w:t>
            </w:r>
            <w:proofErr w:type="gramStart"/>
            <w:r w:rsidRPr="00A42530">
              <w:rPr>
                <w:rFonts w:ascii="Arial" w:eastAsia="Cambria" w:hAnsi="Arial" w:cs="Arial"/>
                <w:sz w:val="18"/>
                <w:szCs w:val="18"/>
              </w:rPr>
              <w:t>z</w:t>
            </w:r>
            <w:proofErr w:type="gramEnd"/>
            <w:r w:rsidRPr="00A42530">
              <w:rPr>
                <w:rFonts w:ascii="Arial" w:eastAsia="Cambria" w:hAnsi="Arial" w:cs="Arial"/>
                <w:sz w:val="18"/>
                <w:szCs w:val="18"/>
              </w:rPr>
              <w:t xml:space="preserve"> 2016 r. poz. 599, z </w:t>
            </w:r>
            <w:proofErr w:type="spellStart"/>
            <w:r w:rsidRPr="00A42530">
              <w:rPr>
                <w:rFonts w:ascii="Arial" w:eastAsia="Cambria" w:hAnsi="Arial" w:cs="Arial"/>
                <w:sz w:val="18"/>
                <w:szCs w:val="18"/>
              </w:rPr>
              <w:t>późn</w:t>
            </w:r>
            <w:proofErr w:type="spellEnd"/>
            <w:r w:rsidRPr="00A42530">
              <w:rPr>
                <w:rFonts w:ascii="Arial" w:eastAsia="Cambria" w:hAnsi="Arial" w:cs="Arial"/>
                <w:sz w:val="18"/>
                <w:szCs w:val="18"/>
              </w:rPr>
              <w:t xml:space="preserve">. </w:t>
            </w:r>
            <w:proofErr w:type="gramStart"/>
            <w:r w:rsidRPr="00A42530">
              <w:rPr>
                <w:rFonts w:ascii="Arial" w:eastAsia="Cambria" w:hAnsi="Arial" w:cs="Arial"/>
                <w:sz w:val="18"/>
                <w:szCs w:val="18"/>
              </w:rPr>
              <w:t>zm</w:t>
            </w:r>
            <w:proofErr w:type="gramEnd"/>
            <w:r w:rsidRPr="00A42530">
              <w:rPr>
                <w:rFonts w:ascii="Arial" w:eastAsia="Cambria" w:hAnsi="Arial" w:cs="Arial"/>
                <w:sz w:val="18"/>
                <w:szCs w:val="18"/>
              </w:rPr>
              <w:t>.).</w:t>
            </w:r>
          </w:p>
        </w:tc>
      </w:tr>
      <w:tr w:rsidR="00900084">
        <w:trPr>
          <w:cantSplit/>
          <w:trHeight w:val="306"/>
        </w:trPr>
        <w:tc>
          <w:tcPr>
            <w:tcW w:w="10420" w:type="dxa"/>
            <w:gridSpan w:val="3"/>
            <w:vAlign w:val="center"/>
          </w:tcPr>
          <w:p w:rsidR="00900084" w:rsidRPr="00104EC1" w:rsidRDefault="00900084" w:rsidP="001D6F31">
            <w:pPr>
              <w:spacing w:before="120"/>
              <w:rPr>
                <w:rFonts w:ascii="Arial" w:hAnsi="Arial"/>
                <w:b/>
                <w:sz w:val="20"/>
              </w:rPr>
            </w:pPr>
            <w:r w:rsidRPr="00104EC1">
              <w:rPr>
                <w:rFonts w:ascii="Arial" w:hAnsi="Arial"/>
                <w:b/>
                <w:sz w:val="20"/>
              </w:rPr>
              <w:t>Podstawy prawne</w:t>
            </w:r>
            <w:r w:rsidR="001D6F31">
              <w:rPr>
                <w:rFonts w:ascii="Arial" w:hAnsi="Arial"/>
                <w:b/>
                <w:sz w:val="20"/>
              </w:rPr>
              <w:t>:</w:t>
            </w:r>
          </w:p>
          <w:p w:rsidR="00900084" w:rsidRPr="00104EC1" w:rsidRDefault="001D6F31" w:rsidP="00DB1021">
            <w:pPr>
              <w:spacing w:line="300" w:lineRule="auto"/>
              <w:ind w:firstLine="539"/>
              <w:rPr>
                <w:rFonts w:ascii="Arial" w:hAnsi="Arial"/>
                <w:b/>
                <w:sz w:val="20"/>
              </w:rPr>
            </w:pPr>
            <w:r>
              <w:rPr>
                <w:rFonts w:ascii="Arial" w:eastAsia="Cambria" w:hAnsi="Arial" w:cs="Arial"/>
                <w:sz w:val="20"/>
                <w:szCs w:val="20"/>
              </w:rPr>
              <w:t xml:space="preserve">- </w:t>
            </w:r>
            <w:r w:rsidR="00A42530" w:rsidRPr="00A42530">
              <w:rPr>
                <w:rFonts w:ascii="Arial" w:eastAsia="Cambria" w:hAnsi="Arial" w:cs="Arial"/>
                <w:sz w:val="20"/>
                <w:szCs w:val="20"/>
              </w:rPr>
              <w:t xml:space="preserve">art. 235 ustawy z dnia 16 listopada 2016 r. - Przepisy wprowadzające ustawę o Krajowej Administracji Skarbowej (Dz. U. </w:t>
            </w:r>
            <w:proofErr w:type="gramStart"/>
            <w:r w:rsidR="00A42530" w:rsidRPr="00A42530">
              <w:rPr>
                <w:rFonts w:ascii="Arial" w:eastAsia="Cambria" w:hAnsi="Arial" w:cs="Arial"/>
                <w:sz w:val="20"/>
                <w:szCs w:val="20"/>
              </w:rPr>
              <w:t>poz</w:t>
            </w:r>
            <w:proofErr w:type="gramEnd"/>
            <w:r w:rsidR="00A42530" w:rsidRPr="00A42530">
              <w:rPr>
                <w:rFonts w:ascii="Arial" w:eastAsia="Cambria" w:hAnsi="Arial" w:cs="Arial"/>
                <w:sz w:val="20"/>
                <w:szCs w:val="20"/>
              </w:rPr>
              <w:t>. 1948</w:t>
            </w:r>
            <w:r w:rsidR="00437322">
              <w:rPr>
                <w:rFonts w:ascii="Arial" w:eastAsia="Cambria" w:hAnsi="Arial" w:cs="Arial"/>
                <w:sz w:val="20"/>
                <w:szCs w:val="20"/>
              </w:rPr>
              <w:t xml:space="preserve">, z </w:t>
            </w:r>
            <w:proofErr w:type="spellStart"/>
            <w:r w:rsidR="00437322">
              <w:rPr>
                <w:rFonts w:ascii="Arial" w:eastAsia="Cambria" w:hAnsi="Arial" w:cs="Arial"/>
                <w:sz w:val="20"/>
                <w:szCs w:val="20"/>
              </w:rPr>
              <w:t>późn</w:t>
            </w:r>
            <w:proofErr w:type="spellEnd"/>
            <w:r w:rsidR="00437322">
              <w:rPr>
                <w:rFonts w:ascii="Arial" w:eastAsia="Cambria" w:hAnsi="Arial" w:cs="Arial"/>
                <w:sz w:val="20"/>
                <w:szCs w:val="20"/>
              </w:rPr>
              <w:t xml:space="preserve">. </w:t>
            </w:r>
            <w:proofErr w:type="gramStart"/>
            <w:r w:rsidR="00437322">
              <w:rPr>
                <w:rFonts w:ascii="Arial" w:eastAsia="Cambria" w:hAnsi="Arial" w:cs="Arial"/>
                <w:sz w:val="20"/>
                <w:szCs w:val="20"/>
              </w:rPr>
              <w:t>zm</w:t>
            </w:r>
            <w:proofErr w:type="gramEnd"/>
            <w:r w:rsidR="00437322">
              <w:rPr>
                <w:rFonts w:ascii="Arial" w:eastAsia="Cambria" w:hAnsi="Arial" w:cs="Arial"/>
                <w:sz w:val="20"/>
                <w:szCs w:val="20"/>
              </w:rPr>
              <w:t>.</w:t>
            </w:r>
            <w:r w:rsidR="00A42530" w:rsidRPr="00A42530">
              <w:rPr>
                <w:rFonts w:ascii="Arial" w:eastAsia="Cambria" w:hAnsi="Arial" w:cs="Arial"/>
                <w:sz w:val="20"/>
                <w:szCs w:val="20"/>
              </w:rPr>
              <w:t>)</w:t>
            </w:r>
            <w:r>
              <w:rPr>
                <w:rFonts w:ascii="Arial" w:eastAsia="Cambria" w:hAnsi="Arial" w:cs="Arial"/>
                <w:sz w:val="20"/>
                <w:szCs w:val="20"/>
              </w:rPr>
              <w:t>,</w:t>
            </w:r>
          </w:p>
          <w:p w:rsidR="001D6F31" w:rsidRPr="001D6F31" w:rsidRDefault="00900084" w:rsidP="001D6F31">
            <w:pPr>
              <w:rPr>
                <w:rFonts w:ascii="Arial" w:hAnsi="Arial"/>
                <w:smallCaps/>
                <w:sz w:val="26"/>
              </w:rPr>
            </w:pPr>
            <w:r w:rsidRPr="001D6F31">
              <w:rPr>
                <w:rFonts w:ascii="Arial" w:hAnsi="Arial"/>
                <w:sz w:val="20"/>
              </w:rPr>
              <w:t xml:space="preserve">          </w:t>
            </w:r>
            <w:r w:rsidR="001D6F31">
              <w:rPr>
                <w:rFonts w:ascii="Arial" w:hAnsi="Arial"/>
                <w:sz w:val="20"/>
              </w:rPr>
              <w:t xml:space="preserve">- </w:t>
            </w:r>
            <w:r w:rsidR="001D6F31" w:rsidRPr="001D6F31">
              <w:rPr>
                <w:rFonts w:ascii="Arial" w:hAnsi="Arial"/>
                <w:sz w:val="20"/>
              </w:rPr>
              <w:t xml:space="preserve">art. 5 § 4 ustawy z dnia 17 czerwca 1966 r. o postępowaniu egzekucyjnym w administracji (Dz. U. </w:t>
            </w:r>
            <w:proofErr w:type="gramStart"/>
            <w:r w:rsidR="001D6F31" w:rsidRPr="001D6F31">
              <w:rPr>
                <w:rFonts w:ascii="Arial" w:hAnsi="Arial"/>
                <w:sz w:val="20"/>
              </w:rPr>
              <w:t>z</w:t>
            </w:r>
            <w:proofErr w:type="gramEnd"/>
            <w:r w:rsidR="001D6F31" w:rsidRPr="001D6F31">
              <w:rPr>
                <w:rFonts w:ascii="Arial" w:hAnsi="Arial"/>
                <w:sz w:val="20"/>
              </w:rPr>
              <w:t xml:space="preserve"> 2016 r. poz. 599, z </w:t>
            </w:r>
            <w:proofErr w:type="spellStart"/>
            <w:r w:rsidR="001D6F31" w:rsidRPr="001D6F31">
              <w:rPr>
                <w:rFonts w:ascii="Arial" w:hAnsi="Arial"/>
                <w:sz w:val="20"/>
              </w:rPr>
              <w:t>późn</w:t>
            </w:r>
            <w:proofErr w:type="spellEnd"/>
            <w:r w:rsidR="001D6F31" w:rsidRPr="001D6F31">
              <w:rPr>
                <w:rFonts w:ascii="Arial" w:hAnsi="Arial"/>
                <w:sz w:val="20"/>
              </w:rPr>
              <w:t xml:space="preserve">. </w:t>
            </w:r>
            <w:proofErr w:type="gramStart"/>
            <w:r w:rsidR="001D6F31" w:rsidRPr="001D6F31">
              <w:rPr>
                <w:rFonts w:ascii="Arial" w:hAnsi="Arial"/>
                <w:sz w:val="20"/>
              </w:rPr>
              <w:t>zm</w:t>
            </w:r>
            <w:proofErr w:type="gramEnd"/>
            <w:r w:rsidR="001D6F31" w:rsidRPr="001D6F31">
              <w:rPr>
                <w:rFonts w:ascii="Arial" w:hAnsi="Arial"/>
                <w:sz w:val="20"/>
              </w:rPr>
              <w:t>.)</w:t>
            </w:r>
            <w:r w:rsidR="001D6F31">
              <w:rPr>
                <w:rFonts w:ascii="Arial" w:hAnsi="Arial"/>
                <w:sz w:val="20"/>
              </w:rPr>
              <w:t>.</w:t>
            </w:r>
          </w:p>
          <w:p w:rsidR="00900084" w:rsidRDefault="00900084" w:rsidP="00B639AE">
            <w:pPr>
              <w:rPr>
                <w:rFonts w:ascii="Arial" w:hAnsi="Arial"/>
                <w:b/>
                <w:smallCaps/>
                <w:sz w:val="26"/>
              </w:rPr>
            </w:pPr>
          </w:p>
        </w:tc>
      </w:tr>
    </w:tbl>
    <w:p w:rsidR="00900084" w:rsidRDefault="00900084" w:rsidP="00462249"/>
    <w:sectPr w:rsidR="00900084" w:rsidSect="00A2681A">
      <w:pgSz w:w="11906" w:h="16838" w:code="9"/>
      <w:pgMar w:top="142" w:right="851" w:bottom="540" w:left="85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0AC7" w:rsidRDefault="00CE0AC7" w:rsidP="00104EC1">
      <w:r>
        <w:separator/>
      </w:r>
    </w:p>
  </w:endnote>
  <w:endnote w:type="continuationSeparator" w:id="0">
    <w:p w:rsidR="00CE0AC7" w:rsidRDefault="00CE0AC7" w:rsidP="00104E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MT">
    <w:altName w:val="Times New Roman"/>
    <w:panose1 w:val="00000000000000000000"/>
    <w:charset w:val="EE"/>
    <w:family w:val="auto"/>
    <w:notTrueType/>
    <w:pitch w:val="default"/>
    <w:sig w:usb0="00000007"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0AC7" w:rsidRDefault="00CE0AC7" w:rsidP="00104EC1">
      <w:r>
        <w:separator/>
      </w:r>
    </w:p>
  </w:footnote>
  <w:footnote w:type="continuationSeparator" w:id="0">
    <w:p w:rsidR="00CE0AC7" w:rsidRDefault="00CE0AC7" w:rsidP="00104EC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9458B"/>
    <w:multiLevelType w:val="hybridMultilevel"/>
    <w:tmpl w:val="6DD050F8"/>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nsid w:val="063C48B8"/>
    <w:multiLevelType w:val="hybridMultilevel"/>
    <w:tmpl w:val="1054B76A"/>
    <w:lvl w:ilvl="0" w:tplc="24228486">
      <w:start w:val="1"/>
      <w:numFmt w:val="bullet"/>
      <w:lvlText w:val="o"/>
      <w:lvlJc w:val="left"/>
      <w:pPr>
        <w:tabs>
          <w:tab w:val="num" w:pos="720"/>
        </w:tabs>
        <w:ind w:left="720" w:hanging="360"/>
      </w:pPr>
      <w:rPr>
        <w:rFonts w:ascii="Courier New" w:hAnsi="Courier New" w:cs="Tahoma" w:hint="default"/>
      </w:rPr>
    </w:lvl>
    <w:lvl w:ilvl="1" w:tplc="A17C912A" w:tentative="1">
      <w:start w:val="1"/>
      <w:numFmt w:val="bullet"/>
      <w:lvlText w:val="o"/>
      <w:lvlJc w:val="left"/>
      <w:pPr>
        <w:tabs>
          <w:tab w:val="num" w:pos="1440"/>
        </w:tabs>
        <w:ind w:left="1440" w:hanging="360"/>
      </w:pPr>
      <w:rPr>
        <w:rFonts w:ascii="Courier New" w:hAnsi="Courier New" w:cs="Tahoma" w:hint="default"/>
      </w:rPr>
    </w:lvl>
    <w:lvl w:ilvl="2" w:tplc="A11412A4" w:tentative="1">
      <w:start w:val="1"/>
      <w:numFmt w:val="bullet"/>
      <w:lvlText w:val=""/>
      <w:lvlJc w:val="left"/>
      <w:pPr>
        <w:tabs>
          <w:tab w:val="num" w:pos="2160"/>
        </w:tabs>
        <w:ind w:left="2160" w:hanging="360"/>
      </w:pPr>
      <w:rPr>
        <w:rFonts w:ascii="Wingdings" w:hAnsi="Wingdings" w:hint="default"/>
      </w:rPr>
    </w:lvl>
    <w:lvl w:ilvl="3" w:tplc="74D0B006" w:tentative="1">
      <w:start w:val="1"/>
      <w:numFmt w:val="bullet"/>
      <w:lvlText w:val=""/>
      <w:lvlJc w:val="left"/>
      <w:pPr>
        <w:tabs>
          <w:tab w:val="num" w:pos="2880"/>
        </w:tabs>
        <w:ind w:left="2880" w:hanging="360"/>
      </w:pPr>
      <w:rPr>
        <w:rFonts w:ascii="Symbol" w:hAnsi="Symbol" w:hint="default"/>
      </w:rPr>
    </w:lvl>
    <w:lvl w:ilvl="4" w:tplc="5638FD1A" w:tentative="1">
      <w:start w:val="1"/>
      <w:numFmt w:val="bullet"/>
      <w:lvlText w:val="o"/>
      <w:lvlJc w:val="left"/>
      <w:pPr>
        <w:tabs>
          <w:tab w:val="num" w:pos="3600"/>
        </w:tabs>
        <w:ind w:left="3600" w:hanging="360"/>
      </w:pPr>
      <w:rPr>
        <w:rFonts w:ascii="Courier New" w:hAnsi="Courier New" w:cs="Tahoma" w:hint="default"/>
      </w:rPr>
    </w:lvl>
    <w:lvl w:ilvl="5" w:tplc="9B8E3D84" w:tentative="1">
      <w:start w:val="1"/>
      <w:numFmt w:val="bullet"/>
      <w:lvlText w:val=""/>
      <w:lvlJc w:val="left"/>
      <w:pPr>
        <w:tabs>
          <w:tab w:val="num" w:pos="4320"/>
        </w:tabs>
        <w:ind w:left="4320" w:hanging="360"/>
      </w:pPr>
      <w:rPr>
        <w:rFonts w:ascii="Wingdings" w:hAnsi="Wingdings" w:hint="default"/>
      </w:rPr>
    </w:lvl>
    <w:lvl w:ilvl="6" w:tplc="787CBFB6" w:tentative="1">
      <w:start w:val="1"/>
      <w:numFmt w:val="bullet"/>
      <w:lvlText w:val=""/>
      <w:lvlJc w:val="left"/>
      <w:pPr>
        <w:tabs>
          <w:tab w:val="num" w:pos="5040"/>
        </w:tabs>
        <w:ind w:left="5040" w:hanging="360"/>
      </w:pPr>
      <w:rPr>
        <w:rFonts w:ascii="Symbol" w:hAnsi="Symbol" w:hint="default"/>
      </w:rPr>
    </w:lvl>
    <w:lvl w:ilvl="7" w:tplc="4746B2A8" w:tentative="1">
      <w:start w:val="1"/>
      <w:numFmt w:val="bullet"/>
      <w:lvlText w:val="o"/>
      <w:lvlJc w:val="left"/>
      <w:pPr>
        <w:tabs>
          <w:tab w:val="num" w:pos="5760"/>
        </w:tabs>
        <w:ind w:left="5760" w:hanging="360"/>
      </w:pPr>
      <w:rPr>
        <w:rFonts w:ascii="Courier New" w:hAnsi="Courier New" w:cs="Tahoma" w:hint="default"/>
      </w:rPr>
    </w:lvl>
    <w:lvl w:ilvl="8" w:tplc="82C8ABEC" w:tentative="1">
      <w:start w:val="1"/>
      <w:numFmt w:val="bullet"/>
      <w:lvlText w:val=""/>
      <w:lvlJc w:val="left"/>
      <w:pPr>
        <w:tabs>
          <w:tab w:val="num" w:pos="6480"/>
        </w:tabs>
        <w:ind w:left="6480" w:hanging="360"/>
      </w:pPr>
      <w:rPr>
        <w:rFonts w:ascii="Wingdings" w:hAnsi="Wingdings" w:hint="default"/>
      </w:rPr>
    </w:lvl>
  </w:abstractNum>
  <w:abstractNum w:abstractNumId="2">
    <w:nsid w:val="0B160E03"/>
    <w:multiLevelType w:val="hybridMultilevel"/>
    <w:tmpl w:val="572ED1AC"/>
    <w:lvl w:ilvl="0" w:tplc="0F800F40">
      <w:start w:val="1"/>
      <w:numFmt w:val="decimal"/>
      <w:lvlText w:val="%1."/>
      <w:lvlJc w:val="left"/>
      <w:pPr>
        <w:ind w:left="420" w:hanging="360"/>
      </w:pPr>
      <w:rPr>
        <w:rFonts w:hint="default"/>
      </w:rPr>
    </w:lvl>
    <w:lvl w:ilvl="1" w:tplc="65FE3106" w:tentative="1">
      <w:start w:val="1"/>
      <w:numFmt w:val="lowerLetter"/>
      <w:lvlText w:val="%2."/>
      <w:lvlJc w:val="left"/>
      <w:pPr>
        <w:ind w:left="1140" w:hanging="360"/>
      </w:pPr>
    </w:lvl>
    <w:lvl w:ilvl="2" w:tplc="03CAD74C" w:tentative="1">
      <w:start w:val="1"/>
      <w:numFmt w:val="lowerRoman"/>
      <w:lvlText w:val="%3."/>
      <w:lvlJc w:val="right"/>
      <w:pPr>
        <w:ind w:left="1860" w:hanging="180"/>
      </w:pPr>
    </w:lvl>
    <w:lvl w:ilvl="3" w:tplc="1F2C2FDE" w:tentative="1">
      <w:start w:val="1"/>
      <w:numFmt w:val="decimal"/>
      <w:lvlText w:val="%4."/>
      <w:lvlJc w:val="left"/>
      <w:pPr>
        <w:ind w:left="2580" w:hanging="360"/>
      </w:pPr>
    </w:lvl>
    <w:lvl w:ilvl="4" w:tplc="A0AEB734" w:tentative="1">
      <w:start w:val="1"/>
      <w:numFmt w:val="lowerLetter"/>
      <w:lvlText w:val="%5."/>
      <w:lvlJc w:val="left"/>
      <w:pPr>
        <w:ind w:left="3300" w:hanging="360"/>
      </w:pPr>
    </w:lvl>
    <w:lvl w:ilvl="5" w:tplc="FA7C176E" w:tentative="1">
      <w:start w:val="1"/>
      <w:numFmt w:val="lowerRoman"/>
      <w:lvlText w:val="%6."/>
      <w:lvlJc w:val="right"/>
      <w:pPr>
        <w:ind w:left="4020" w:hanging="180"/>
      </w:pPr>
    </w:lvl>
    <w:lvl w:ilvl="6" w:tplc="51DE10EC" w:tentative="1">
      <w:start w:val="1"/>
      <w:numFmt w:val="decimal"/>
      <w:lvlText w:val="%7."/>
      <w:lvlJc w:val="left"/>
      <w:pPr>
        <w:ind w:left="4740" w:hanging="360"/>
      </w:pPr>
    </w:lvl>
    <w:lvl w:ilvl="7" w:tplc="6B30AC58" w:tentative="1">
      <w:start w:val="1"/>
      <w:numFmt w:val="lowerLetter"/>
      <w:lvlText w:val="%8."/>
      <w:lvlJc w:val="left"/>
      <w:pPr>
        <w:ind w:left="5460" w:hanging="360"/>
      </w:pPr>
    </w:lvl>
    <w:lvl w:ilvl="8" w:tplc="3B2446B8" w:tentative="1">
      <w:start w:val="1"/>
      <w:numFmt w:val="lowerRoman"/>
      <w:lvlText w:val="%9."/>
      <w:lvlJc w:val="right"/>
      <w:pPr>
        <w:ind w:left="6180" w:hanging="180"/>
      </w:pPr>
    </w:lvl>
  </w:abstractNum>
  <w:abstractNum w:abstractNumId="3">
    <w:nsid w:val="24B6149D"/>
    <w:multiLevelType w:val="hybridMultilevel"/>
    <w:tmpl w:val="230C07CE"/>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nsid w:val="2A623CF0"/>
    <w:multiLevelType w:val="hybridMultilevel"/>
    <w:tmpl w:val="0A3C0C68"/>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nsid w:val="33FD3765"/>
    <w:multiLevelType w:val="hybridMultilevel"/>
    <w:tmpl w:val="0D0AB452"/>
    <w:lvl w:ilvl="0" w:tplc="1CA43400">
      <w:start w:val="1"/>
      <w:numFmt w:val="lowerLetter"/>
      <w:lvlText w:val="%1)"/>
      <w:lvlJc w:val="left"/>
      <w:pPr>
        <w:tabs>
          <w:tab w:val="num" w:pos="720"/>
        </w:tabs>
        <w:ind w:left="720" w:hanging="360"/>
      </w:pPr>
      <w:rPr>
        <w:rFonts w:ascii="Times New Roman" w:eastAsia="Times New Roman" w:hAnsi="Times New Roman" w:cs="Times New Roman"/>
      </w:rPr>
    </w:lvl>
    <w:lvl w:ilvl="1" w:tplc="697AC4FC" w:tentative="1">
      <w:start w:val="1"/>
      <w:numFmt w:val="lowerLetter"/>
      <w:lvlText w:val="%2."/>
      <w:lvlJc w:val="left"/>
      <w:pPr>
        <w:tabs>
          <w:tab w:val="num" w:pos="1440"/>
        </w:tabs>
        <w:ind w:left="1440" w:hanging="360"/>
      </w:pPr>
    </w:lvl>
    <w:lvl w:ilvl="2" w:tplc="B38A52CC" w:tentative="1">
      <w:start w:val="1"/>
      <w:numFmt w:val="lowerRoman"/>
      <w:lvlText w:val="%3."/>
      <w:lvlJc w:val="right"/>
      <w:pPr>
        <w:tabs>
          <w:tab w:val="num" w:pos="2160"/>
        </w:tabs>
        <w:ind w:left="2160" w:hanging="180"/>
      </w:pPr>
    </w:lvl>
    <w:lvl w:ilvl="3" w:tplc="D93203C8" w:tentative="1">
      <w:start w:val="1"/>
      <w:numFmt w:val="decimal"/>
      <w:lvlText w:val="%4."/>
      <w:lvlJc w:val="left"/>
      <w:pPr>
        <w:tabs>
          <w:tab w:val="num" w:pos="2880"/>
        </w:tabs>
        <w:ind w:left="2880" w:hanging="360"/>
      </w:pPr>
    </w:lvl>
    <w:lvl w:ilvl="4" w:tplc="8FA8A424" w:tentative="1">
      <w:start w:val="1"/>
      <w:numFmt w:val="lowerLetter"/>
      <w:lvlText w:val="%5."/>
      <w:lvlJc w:val="left"/>
      <w:pPr>
        <w:tabs>
          <w:tab w:val="num" w:pos="3600"/>
        </w:tabs>
        <w:ind w:left="3600" w:hanging="360"/>
      </w:pPr>
    </w:lvl>
    <w:lvl w:ilvl="5" w:tplc="75A0F88C" w:tentative="1">
      <w:start w:val="1"/>
      <w:numFmt w:val="lowerRoman"/>
      <w:lvlText w:val="%6."/>
      <w:lvlJc w:val="right"/>
      <w:pPr>
        <w:tabs>
          <w:tab w:val="num" w:pos="4320"/>
        </w:tabs>
        <w:ind w:left="4320" w:hanging="180"/>
      </w:pPr>
    </w:lvl>
    <w:lvl w:ilvl="6" w:tplc="AF44690E" w:tentative="1">
      <w:start w:val="1"/>
      <w:numFmt w:val="decimal"/>
      <w:lvlText w:val="%7."/>
      <w:lvlJc w:val="left"/>
      <w:pPr>
        <w:tabs>
          <w:tab w:val="num" w:pos="5040"/>
        </w:tabs>
        <w:ind w:left="5040" w:hanging="360"/>
      </w:pPr>
    </w:lvl>
    <w:lvl w:ilvl="7" w:tplc="A06A8112" w:tentative="1">
      <w:start w:val="1"/>
      <w:numFmt w:val="lowerLetter"/>
      <w:lvlText w:val="%8."/>
      <w:lvlJc w:val="left"/>
      <w:pPr>
        <w:tabs>
          <w:tab w:val="num" w:pos="5760"/>
        </w:tabs>
        <w:ind w:left="5760" w:hanging="360"/>
      </w:pPr>
    </w:lvl>
    <w:lvl w:ilvl="8" w:tplc="256644B4" w:tentative="1">
      <w:start w:val="1"/>
      <w:numFmt w:val="lowerRoman"/>
      <w:lvlText w:val="%9."/>
      <w:lvlJc w:val="right"/>
      <w:pPr>
        <w:tabs>
          <w:tab w:val="num" w:pos="6480"/>
        </w:tabs>
        <w:ind w:left="6480" w:hanging="180"/>
      </w:pPr>
    </w:lvl>
  </w:abstractNum>
  <w:abstractNum w:abstractNumId="6">
    <w:nsid w:val="43E161EE"/>
    <w:multiLevelType w:val="hybridMultilevel"/>
    <w:tmpl w:val="776CEFB4"/>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451A49F8"/>
    <w:multiLevelType w:val="hybridMultilevel"/>
    <w:tmpl w:val="F71A2726"/>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2"/>
  </w:num>
  <w:num w:numId="4">
    <w:abstractNumId w:val="7"/>
  </w:num>
  <w:num w:numId="5">
    <w:abstractNumId w:val="0"/>
  </w:num>
  <w:num w:numId="6">
    <w:abstractNumId w:val="3"/>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2340"/>
    <w:rsid w:val="00003631"/>
    <w:rsid w:val="00036A14"/>
    <w:rsid w:val="00044867"/>
    <w:rsid w:val="00056694"/>
    <w:rsid w:val="00081CB5"/>
    <w:rsid w:val="000945F2"/>
    <w:rsid w:val="00094A36"/>
    <w:rsid w:val="00104EC1"/>
    <w:rsid w:val="0012249A"/>
    <w:rsid w:val="001315DC"/>
    <w:rsid w:val="00176677"/>
    <w:rsid w:val="0019634E"/>
    <w:rsid w:val="00196FB5"/>
    <w:rsid w:val="001D6F31"/>
    <w:rsid w:val="00250949"/>
    <w:rsid w:val="002D4CFB"/>
    <w:rsid w:val="003277AD"/>
    <w:rsid w:val="003F0FAA"/>
    <w:rsid w:val="00400BBA"/>
    <w:rsid w:val="0043510A"/>
    <w:rsid w:val="00437322"/>
    <w:rsid w:val="00462249"/>
    <w:rsid w:val="00472A3E"/>
    <w:rsid w:val="00495974"/>
    <w:rsid w:val="005A0A9F"/>
    <w:rsid w:val="005C4869"/>
    <w:rsid w:val="005C7E8F"/>
    <w:rsid w:val="005F65E6"/>
    <w:rsid w:val="0063687D"/>
    <w:rsid w:val="00646DD9"/>
    <w:rsid w:val="00655614"/>
    <w:rsid w:val="00686AF3"/>
    <w:rsid w:val="00697037"/>
    <w:rsid w:val="006C7EDA"/>
    <w:rsid w:val="007067FC"/>
    <w:rsid w:val="007208D0"/>
    <w:rsid w:val="007417DA"/>
    <w:rsid w:val="00793F79"/>
    <w:rsid w:val="00900084"/>
    <w:rsid w:val="00937EA2"/>
    <w:rsid w:val="009B7CBE"/>
    <w:rsid w:val="009C172D"/>
    <w:rsid w:val="009C3DC8"/>
    <w:rsid w:val="009F75F9"/>
    <w:rsid w:val="00A2681A"/>
    <w:rsid w:val="00A42530"/>
    <w:rsid w:val="00A52340"/>
    <w:rsid w:val="00AE2441"/>
    <w:rsid w:val="00B07CD5"/>
    <w:rsid w:val="00B40BD2"/>
    <w:rsid w:val="00B41426"/>
    <w:rsid w:val="00B639AE"/>
    <w:rsid w:val="00B67F3A"/>
    <w:rsid w:val="00BA73C4"/>
    <w:rsid w:val="00CE0AC7"/>
    <w:rsid w:val="00D228A7"/>
    <w:rsid w:val="00D666E7"/>
    <w:rsid w:val="00D81A15"/>
    <w:rsid w:val="00DA1574"/>
    <w:rsid w:val="00DB1021"/>
    <w:rsid w:val="00DB4E54"/>
    <w:rsid w:val="00E62B3B"/>
    <w:rsid w:val="00EB42F1"/>
    <w:rsid w:val="00F1686D"/>
    <w:rsid w:val="00F20EE2"/>
    <w:rsid w:val="00F65A1C"/>
    <w:rsid w:val="00F757D8"/>
    <w:rsid w:val="00FC72F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3">
    <w:name w:val="Body Text 3"/>
    <w:basedOn w:val="Normalny"/>
    <w:semiHidden/>
    <w:pPr>
      <w:spacing w:line="240" w:lineRule="atLeast"/>
    </w:pPr>
    <w:rPr>
      <w:color w:val="000000"/>
      <w:szCs w:val="20"/>
    </w:rPr>
  </w:style>
  <w:style w:type="paragraph" w:styleId="Tekstdymka">
    <w:name w:val="Balloon Text"/>
    <w:basedOn w:val="Normalny"/>
    <w:semiHidden/>
    <w:rPr>
      <w:rFonts w:ascii="Tahoma" w:hAnsi="Tahoma" w:cs="ArialMT"/>
      <w:sz w:val="16"/>
      <w:szCs w:val="16"/>
    </w:rPr>
  </w:style>
  <w:style w:type="paragraph" w:styleId="Tekstpodstawowy">
    <w:name w:val="Body Text"/>
    <w:basedOn w:val="Normalny"/>
    <w:semiHidden/>
    <w:pPr>
      <w:jc w:val="both"/>
    </w:pPr>
    <w:rPr>
      <w:rFonts w:ascii="Arial" w:hAnsi="Arial"/>
      <w:sz w:val="22"/>
    </w:rPr>
  </w:style>
  <w:style w:type="character" w:styleId="Hipercze">
    <w:name w:val="Hyperlink"/>
    <w:basedOn w:val="Domylnaczcionkaakapitu"/>
    <w:uiPriority w:val="99"/>
    <w:unhideWhenUsed/>
    <w:rsid w:val="00DA1574"/>
    <w:rPr>
      <w:color w:val="0000FF" w:themeColor="hyperlink"/>
      <w:u w:val="single"/>
    </w:rPr>
  </w:style>
  <w:style w:type="paragraph" w:styleId="Tekstprzypisudolnego">
    <w:name w:val="footnote text"/>
    <w:basedOn w:val="Normalny"/>
    <w:link w:val="TekstprzypisudolnegoZnak"/>
    <w:uiPriority w:val="99"/>
    <w:semiHidden/>
    <w:unhideWhenUsed/>
    <w:rsid w:val="00104EC1"/>
    <w:rPr>
      <w:rFonts w:ascii="Cambria" w:eastAsia="Cambria" w:hAnsi="Cambria"/>
      <w:sz w:val="20"/>
      <w:szCs w:val="20"/>
      <w:lang w:eastAsia="en-US"/>
    </w:rPr>
  </w:style>
  <w:style w:type="character" w:customStyle="1" w:styleId="TekstprzypisudolnegoZnak">
    <w:name w:val="Tekst przypisu dolnego Znak"/>
    <w:basedOn w:val="Domylnaczcionkaakapitu"/>
    <w:link w:val="Tekstprzypisudolnego"/>
    <w:uiPriority w:val="99"/>
    <w:semiHidden/>
    <w:rsid w:val="00104EC1"/>
    <w:rPr>
      <w:rFonts w:ascii="Cambria" w:eastAsia="Cambria" w:hAnsi="Cambria"/>
      <w:lang w:eastAsia="en-US"/>
    </w:rPr>
  </w:style>
  <w:style w:type="character" w:styleId="Odwoanieprzypisudolnego">
    <w:name w:val="footnote reference"/>
    <w:basedOn w:val="Domylnaczcionkaakapitu"/>
    <w:uiPriority w:val="99"/>
    <w:semiHidden/>
    <w:unhideWhenUsed/>
    <w:rsid w:val="00104EC1"/>
    <w:rPr>
      <w:vertAlign w:val="superscript"/>
    </w:rPr>
  </w:style>
  <w:style w:type="paragraph" w:styleId="Akapitzlist">
    <w:name w:val="List Paragraph"/>
    <w:basedOn w:val="Normalny"/>
    <w:uiPriority w:val="34"/>
    <w:qFormat/>
    <w:rsid w:val="0004486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3">
    <w:name w:val="Body Text 3"/>
    <w:basedOn w:val="Normalny"/>
    <w:semiHidden/>
    <w:pPr>
      <w:spacing w:line="240" w:lineRule="atLeast"/>
    </w:pPr>
    <w:rPr>
      <w:color w:val="000000"/>
      <w:szCs w:val="20"/>
    </w:rPr>
  </w:style>
  <w:style w:type="paragraph" w:styleId="Tekstdymka">
    <w:name w:val="Balloon Text"/>
    <w:basedOn w:val="Normalny"/>
    <w:semiHidden/>
    <w:rPr>
      <w:rFonts w:ascii="Tahoma" w:hAnsi="Tahoma" w:cs="ArialMT"/>
      <w:sz w:val="16"/>
      <w:szCs w:val="16"/>
    </w:rPr>
  </w:style>
  <w:style w:type="paragraph" w:styleId="Tekstpodstawowy">
    <w:name w:val="Body Text"/>
    <w:basedOn w:val="Normalny"/>
    <w:semiHidden/>
    <w:pPr>
      <w:jc w:val="both"/>
    </w:pPr>
    <w:rPr>
      <w:rFonts w:ascii="Arial" w:hAnsi="Arial"/>
      <w:sz w:val="22"/>
    </w:rPr>
  </w:style>
  <w:style w:type="character" w:styleId="Hipercze">
    <w:name w:val="Hyperlink"/>
    <w:basedOn w:val="Domylnaczcionkaakapitu"/>
    <w:uiPriority w:val="99"/>
    <w:unhideWhenUsed/>
    <w:rsid w:val="00DA1574"/>
    <w:rPr>
      <w:color w:val="0000FF" w:themeColor="hyperlink"/>
      <w:u w:val="single"/>
    </w:rPr>
  </w:style>
  <w:style w:type="paragraph" w:styleId="Tekstprzypisudolnego">
    <w:name w:val="footnote text"/>
    <w:basedOn w:val="Normalny"/>
    <w:link w:val="TekstprzypisudolnegoZnak"/>
    <w:uiPriority w:val="99"/>
    <w:semiHidden/>
    <w:unhideWhenUsed/>
    <w:rsid w:val="00104EC1"/>
    <w:rPr>
      <w:rFonts w:ascii="Cambria" w:eastAsia="Cambria" w:hAnsi="Cambria"/>
      <w:sz w:val="20"/>
      <w:szCs w:val="20"/>
      <w:lang w:eastAsia="en-US"/>
    </w:rPr>
  </w:style>
  <w:style w:type="character" w:customStyle="1" w:styleId="TekstprzypisudolnegoZnak">
    <w:name w:val="Tekst przypisu dolnego Znak"/>
    <w:basedOn w:val="Domylnaczcionkaakapitu"/>
    <w:link w:val="Tekstprzypisudolnego"/>
    <w:uiPriority w:val="99"/>
    <w:semiHidden/>
    <w:rsid w:val="00104EC1"/>
    <w:rPr>
      <w:rFonts w:ascii="Cambria" w:eastAsia="Cambria" w:hAnsi="Cambria"/>
      <w:lang w:eastAsia="en-US"/>
    </w:rPr>
  </w:style>
  <w:style w:type="character" w:styleId="Odwoanieprzypisudolnego">
    <w:name w:val="footnote reference"/>
    <w:basedOn w:val="Domylnaczcionkaakapitu"/>
    <w:uiPriority w:val="99"/>
    <w:semiHidden/>
    <w:unhideWhenUsed/>
    <w:rsid w:val="00104EC1"/>
    <w:rPr>
      <w:vertAlign w:val="superscript"/>
    </w:rPr>
  </w:style>
  <w:style w:type="paragraph" w:styleId="Akapitzlist">
    <w:name w:val="List Paragraph"/>
    <w:basedOn w:val="Normalny"/>
    <w:uiPriority w:val="34"/>
    <w:qFormat/>
    <w:rsid w:val="0004486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948428">
      <w:bodyDiv w:val="1"/>
      <w:marLeft w:val="0"/>
      <w:marRight w:val="0"/>
      <w:marTop w:val="0"/>
      <w:marBottom w:val="0"/>
      <w:divBdr>
        <w:top w:val="none" w:sz="0" w:space="0" w:color="auto"/>
        <w:left w:val="none" w:sz="0" w:space="0" w:color="auto"/>
        <w:bottom w:val="none" w:sz="0" w:space="0" w:color="auto"/>
        <w:right w:val="none" w:sz="0" w:space="0" w:color="auto"/>
      </w:divBdr>
    </w:div>
    <w:div w:id="105544143">
      <w:bodyDiv w:val="1"/>
      <w:marLeft w:val="0"/>
      <w:marRight w:val="0"/>
      <w:marTop w:val="0"/>
      <w:marBottom w:val="0"/>
      <w:divBdr>
        <w:top w:val="none" w:sz="0" w:space="0" w:color="auto"/>
        <w:left w:val="none" w:sz="0" w:space="0" w:color="auto"/>
        <w:bottom w:val="none" w:sz="0" w:space="0" w:color="auto"/>
        <w:right w:val="none" w:sz="0" w:space="0" w:color="auto"/>
      </w:divBdr>
    </w:div>
    <w:div w:id="1259750460">
      <w:bodyDiv w:val="1"/>
      <w:marLeft w:val="0"/>
      <w:marRight w:val="0"/>
      <w:marTop w:val="0"/>
      <w:marBottom w:val="0"/>
      <w:divBdr>
        <w:top w:val="none" w:sz="0" w:space="0" w:color="auto"/>
        <w:left w:val="none" w:sz="0" w:space="0" w:color="auto"/>
        <w:bottom w:val="none" w:sz="0" w:space="0" w:color="auto"/>
        <w:right w:val="none" w:sz="0" w:space="0" w:color="auto"/>
      </w:divBdr>
    </w:div>
    <w:div w:id="1322006780">
      <w:bodyDiv w:val="1"/>
      <w:marLeft w:val="0"/>
      <w:marRight w:val="0"/>
      <w:marTop w:val="0"/>
      <w:marBottom w:val="0"/>
      <w:divBdr>
        <w:top w:val="none" w:sz="0" w:space="0" w:color="auto"/>
        <w:left w:val="none" w:sz="0" w:space="0" w:color="auto"/>
        <w:bottom w:val="none" w:sz="0" w:space="0" w:color="auto"/>
        <w:right w:val="none" w:sz="0" w:space="0" w:color="auto"/>
      </w:divBdr>
    </w:div>
    <w:div w:id="1600983220">
      <w:bodyDiv w:val="1"/>
      <w:marLeft w:val="0"/>
      <w:marRight w:val="0"/>
      <w:marTop w:val="0"/>
      <w:marBottom w:val="0"/>
      <w:divBdr>
        <w:top w:val="none" w:sz="0" w:space="0" w:color="auto"/>
        <w:left w:val="none" w:sz="0" w:space="0" w:color="auto"/>
        <w:bottom w:val="none" w:sz="0" w:space="0" w:color="auto"/>
        <w:right w:val="none" w:sz="0" w:space="0" w:color="auto"/>
      </w:divBdr>
    </w:div>
    <w:div w:id="1978797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inanse.mf.gov.pl/clo/unijny-kodeks-celny-wdrozenie/ukc"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2</Pages>
  <Words>819</Words>
  <Characters>4914</Characters>
  <Application>Microsoft Office Word</Application>
  <DocSecurity>0</DocSecurity>
  <Lines>40</Lines>
  <Paragraphs>11</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Unijny Kodeks Celny</vt:lpstr>
      <vt:lpstr>Unijny Kodeks Celny</vt:lpstr>
    </vt:vector>
  </TitlesOfParts>
  <Company>Ministerstwo Finansów</Company>
  <LinksUpToDate>false</LinksUpToDate>
  <CharactersWithSpaces>5722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Unijny Kodeks Celny</dc:title>
  <dc:creator>Filipowicz-Mercer Kinga</dc:creator>
  <cp:lastModifiedBy>Maj Jerzy</cp:lastModifiedBy>
  <cp:revision>5</cp:revision>
  <dcterms:created xsi:type="dcterms:W3CDTF">2017-02-17T08:06:00Z</dcterms:created>
  <dcterms:modified xsi:type="dcterms:W3CDTF">2017-02-17T13:23:00Z</dcterms:modified>
</cp:coreProperties>
</file>