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73"/>
        <w:gridCol w:w="5566"/>
        <w:gridCol w:w="1381"/>
      </w:tblGrid>
      <w:tr w:rsidR="00900084" w:rsidTr="00A42530">
        <w:trPr>
          <w:cantSplit/>
          <w:trHeight w:val="195"/>
        </w:trPr>
        <w:tc>
          <w:tcPr>
            <w:tcW w:w="90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/>
          </w:tcPr>
          <w:p w:rsidR="00900084" w:rsidRDefault="00A42530" w:rsidP="000E3DD3">
            <w:pPr>
              <w:tabs>
                <w:tab w:val="left" w:pos="1275"/>
              </w:tabs>
              <w:jc w:val="center"/>
              <w:rPr>
                <w:rFonts w:ascii="Arial" w:hAnsi="Arial"/>
                <w:b/>
                <w:smallCaps/>
                <w:sz w:val="28"/>
              </w:rPr>
            </w:pPr>
            <w:r>
              <w:rPr>
                <w:rFonts w:ascii="Arial" w:hAnsi="Arial"/>
                <w:b/>
                <w:sz w:val="28"/>
              </w:rPr>
              <w:t xml:space="preserve">Krajowa Administracja Skarbowa </w:t>
            </w:r>
            <w:r w:rsidR="000E3DD3">
              <w:rPr>
                <w:rFonts w:ascii="Arial" w:hAnsi="Arial"/>
                <w:b/>
                <w:sz w:val="28"/>
              </w:rPr>
              <w:t>–</w:t>
            </w:r>
            <w:r>
              <w:rPr>
                <w:rFonts w:ascii="Arial" w:hAnsi="Arial"/>
                <w:b/>
                <w:sz w:val="28"/>
              </w:rPr>
              <w:t xml:space="preserve"> </w:t>
            </w:r>
            <w:r w:rsidR="000E3DD3">
              <w:rPr>
                <w:rFonts w:ascii="Arial" w:hAnsi="Arial"/>
                <w:b/>
                <w:sz w:val="28"/>
              </w:rPr>
              <w:t xml:space="preserve">zagadnienia dotyczące </w:t>
            </w:r>
            <w:r>
              <w:rPr>
                <w:rFonts w:ascii="Arial" w:hAnsi="Arial"/>
                <w:b/>
                <w:sz w:val="28"/>
              </w:rPr>
              <w:t>przepis</w:t>
            </w:r>
            <w:r w:rsidR="000E3DD3">
              <w:rPr>
                <w:rFonts w:ascii="Arial" w:hAnsi="Arial"/>
                <w:b/>
                <w:sz w:val="28"/>
              </w:rPr>
              <w:t>ów</w:t>
            </w:r>
            <w:r>
              <w:rPr>
                <w:rFonts w:ascii="Arial" w:hAnsi="Arial"/>
                <w:b/>
                <w:sz w:val="28"/>
              </w:rPr>
              <w:t xml:space="preserve"> celn</w:t>
            </w:r>
            <w:r w:rsidR="000E3DD3">
              <w:rPr>
                <w:rFonts w:ascii="Arial" w:hAnsi="Arial"/>
                <w:b/>
                <w:sz w:val="28"/>
              </w:rPr>
              <w:t>ych</w:t>
            </w:r>
          </w:p>
        </w:tc>
        <w:tc>
          <w:tcPr>
            <w:tcW w:w="1381" w:type="dxa"/>
            <w:tcBorders>
              <w:left w:val="single" w:sz="4" w:space="0" w:color="auto"/>
            </w:tcBorders>
            <w:shd w:val="clear" w:color="auto" w:fill="FFFFFF"/>
          </w:tcPr>
          <w:p w:rsidR="00900084" w:rsidRDefault="00900084" w:rsidP="007417DA">
            <w:pPr>
              <w:tabs>
                <w:tab w:val="left" w:pos="1275"/>
              </w:tabs>
              <w:rPr>
                <w:rFonts w:ascii="Arial" w:hAnsi="Arial"/>
                <w:b/>
                <w:smallCaps/>
                <w:sz w:val="20"/>
              </w:rPr>
            </w:pPr>
            <w:r>
              <w:rPr>
                <w:rFonts w:ascii="Arial" w:hAnsi="Arial"/>
                <w:b/>
                <w:smallCaps/>
                <w:sz w:val="20"/>
              </w:rPr>
              <w:t xml:space="preserve">POZ.   </w:t>
            </w:r>
            <w:r w:rsidR="00F27C19">
              <w:rPr>
                <w:rFonts w:ascii="Arial" w:hAnsi="Arial"/>
                <w:b/>
                <w:smallCaps/>
                <w:sz w:val="20"/>
              </w:rPr>
              <w:t>2</w:t>
            </w:r>
            <w:r>
              <w:rPr>
                <w:rFonts w:ascii="Arial" w:hAnsi="Arial"/>
                <w:b/>
                <w:smallCaps/>
                <w:sz w:val="20"/>
              </w:rPr>
              <w:t xml:space="preserve"> </w:t>
            </w:r>
          </w:p>
        </w:tc>
      </w:tr>
      <w:tr w:rsidR="00900084">
        <w:trPr>
          <w:cantSplit/>
          <w:trHeight w:val="195"/>
        </w:trPr>
        <w:tc>
          <w:tcPr>
            <w:tcW w:w="10420" w:type="dxa"/>
            <w:gridSpan w:val="3"/>
            <w:shd w:val="clear" w:color="auto" w:fill="808080"/>
          </w:tcPr>
          <w:p w:rsidR="00900084" w:rsidRDefault="00900084">
            <w:pPr>
              <w:rPr>
                <w:rFonts w:ascii="Arial" w:hAnsi="Arial"/>
                <w:b/>
                <w:i/>
                <w:smallCaps/>
                <w:sz w:val="26"/>
              </w:rPr>
            </w:pPr>
            <w:r>
              <w:rPr>
                <w:rFonts w:ascii="Arial" w:hAnsi="Arial"/>
                <w:b/>
                <w:i/>
                <w:smallCaps/>
                <w:sz w:val="26"/>
              </w:rPr>
              <w:t>Metryczka sprawy</w:t>
            </w:r>
          </w:p>
        </w:tc>
      </w:tr>
      <w:tr w:rsidR="00900084">
        <w:trPr>
          <w:cantSplit/>
          <w:trHeight w:val="227"/>
        </w:trPr>
        <w:tc>
          <w:tcPr>
            <w:tcW w:w="10420" w:type="dxa"/>
            <w:gridSpan w:val="3"/>
            <w:vAlign w:val="center"/>
          </w:tcPr>
          <w:p w:rsidR="00400BBA" w:rsidRDefault="00900084" w:rsidP="001434A2">
            <w:pPr>
              <w:spacing w:before="1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Zagadnienie z zakresu: </w:t>
            </w:r>
            <w:r w:rsidR="001434A2" w:rsidRPr="001434A2">
              <w:rPr>
                <w:rFonts w:ascii="Arial" w:hAnsi="Arial"/>
                <w:sz w:val="20"/>
              </w:rPr>
              <w:t xml:space="preserve">Beneficjent gwarancji </w:t>
            </w:r>
            <w:r w:rsidR="001434A2">
              <w:rPr>
                <w:rFonts w:ascii="Arial" w:hAnsi="Arial"/>
                <w:sz w:val="20"/>
              </w:rPr>
              <w:t xml:space="preserve">bankowej lub ubezpieczeniowej </w:t>
            </w:r>
            <w:r w:rsidR="001434A2" w:rsidRPr="001434A2">
              <w:rPr>
                <w:rFonts w:ascii="Arial" w:hAnsi="Arial"/>
                <w:sz w:val="20"/>
              </w:rPr>
              <w:t xml:space="preserve">składanej na podstawie pozwolenia </w:t>
            </w:r>
            <w:r w:rsidR="001434A2">
              <w:rPr>
                <w:rFonts w:ascii="Arial" w:hAnsi="Arial"/>
                <w:sz w:val="20"/>
              </w:rPr>
              <w:t xml:space="preserve">na złożenie zabezpieczenia generalnego </w:t>
            </w:r>
            <w:r w:rsidR="001434A2" w:rsidRPr="001434A2">
              <w:rPr>
                <w:rFonts w:ascii="Arial" w:hAnsi="Arial"/>
                <w:sz w:val="20"/>
              </w:rPr>
              <w:t xml:space="preserve">wydanego przed </w:t>
            </w:r>
            <w:r w:rsidR="001434A2">
              <w:rPr>
                <w:rFonts w:ascii="Arial" w:hAnsi="Arial"/>
                <w:sz w:val="20"/>
              </w:rPr>
              <w:t xml:space="preserve">dniem </w:t>
            </w:r>
            <w:r w:rsidR="001434A2" w:rsidRPr="001434A2">
              <w:rPr>
                <w:rFonts w:ascii="Arial" w:hAnsi="Arial"/>
                <w:sz w:val="20"/>
              </w:rPr>
              <w:t>1</w:t>
            </w:r>
            <w:r w:rsidR="001434A2">
              <w:rPr>
                <w:rFonts w:ascii="Arial" w:hAnsi="Arial"/>
                <w:sz w:val="20"/>
              </w:rPr>
              <w:t xml:space="preserve"> maja </w:t>
            </w:r>
            <w:r w:rsidR="001434A2" w:rsidRPr="001434A2">
              <w:rPr>
                <w:rFonts w:ascii="Arial" w:hAnsi="Arial"/>
                <w:sz w:val="20"/>
              </w:rPr>
              <w:t>2016 r.</w:t>
            </w:r>
            <w:r w:rsidR="001434A2">
              <w:rPr>
                <w:rFonts w:ascii="Arial" w:hAnsi="Arial"/>
                <w:sz w:val="20"/>
              </w:rPr>
              <w:t xml:space="preserve"> </w:t>
            </w:r>
            <w:bookmarkStart w:id="0" w:name="_GoBack"/>
            <w:bookmarkEnd w:id="0"/>
          </w:p>
        </w:tc>
      </w:tr>
      <w:tr w:rsidR="00900084">
        <w:trPr>
          <w:cantSplit/>
          <w:trHeight w:val="227"/>
        </w:trPr>
        <w:tc>
          <w:tcPr>
            <w:tcW w:w="10420" w:type="dxa"/>
            <w:gridSpan w:val="3"/>
            <w:vAlign w:val="center"/>
          </w:tcPr>
          <w:p w:rsidR="00900084" w:rsidRDefault="00900084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Opis zagadnienia: </w:t>
            </w:r>
          </w:p>
          <w:p w:rsidR="00A42530" w:rsidRDefault="00A42530" w:rsidP="00A42530">
            <w:pPr>
              <w:spacing w:before="120"/>
              <w:jc w:val="both"/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Zagadnienie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 dotycz</w:t>
            </w:r>
            <w:r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y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 pozwolenia na stosowanie zabezpieczenia generalnego wydanego przed </w:t>
            </w:r>
            <w:r w:rsidR="000E3DD3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dniem 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 w:rsidR="000E3DD3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 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maja 2016</w:t>
            </w:r>
            <w:r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 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r., na </w:t>
            </w:r>
            <w:proofErr w:type="gramStart"/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podstawie którego</w:t>
            </w:r>
            <w:proofErr w:type="gramEnd"/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 zostało złożone zabezpieczenie w formie gwarancji, które</w:t>
            </w:r>
            <w:r w:rsidR="000B1901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go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 termin ważności upływa z dniem </w:t>
            </w:r>
            <w:r w:rsidR="002306E6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3 marca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 2017</w:t>
            </w:r>
            <w:r w:rsidR="000B1901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A42530">
              <w:rPr>
                <w:rFonts w:ascii="Arial" w:eastAsia="Cambria" w:hAnsi="Arial" w:cs="Arial"/>
                <w:b/>
                <w:bCs/>
                <w:sz w:val="20"/>
                <w:szCs w:val="20"/>
                <w:lang w:eastAsia="en-US"/>
              </w:rPr>
              <w:t>r. Pozwolenie na chwilę obecną nie podlega ponownej ocenie.</w:t>
            </w:r>
          </w:p>
          <w:p w:rsidR="000B1901" w:rsidRPr="000B1901" w:rsidRDefault="000B1901" w:rsidP="000B1901">
            <w:pPr>
              <w:spacing w:before="120"/>
              <w:jc w:val="both"/>
              <w:rPr>
                <w:rFonts w:ascii="Arial" w:eastAsia="Cambria" w:hAnsi="Arial" w:cs="Arial"/>
                <w:sz w:val="20"/>
                <w:szCs w:val="20"/>
                <w:lang w:eastAsia="en-US"/>
              </w:rPr>
            </w:pP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Przedsiębiorca uzyskał gwarancję ubezpieczeniową, która została wystawiona z dniem 31</w:t>
            </w:r>
            <w:r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 stycznia </w:t>
            </w: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2017</w:t>
            </w:r>
            <w:r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 </w:t>
            </w: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r. z</w:t>
            </w:r>
            <w:r>
              <w:rPr>
                <w:rFonts w:ascii="Arial" w:eastAsia="Cambria" w:hAnsi="Arial" w:cs="Arial"/>
                <w:sz w:val="20"/>
                <w:szCs w:val="20"/>
                <w:lang w:eastAsia="en-US"/>
              </w:rPr>
              <w:t> </w:t>
            </w: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terminem obowiązywania od </w:t>
            </w:r>
            <w:r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4 marca </w:t>
            </w: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2017</w:t>
            </w:r>
            <w:r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 </w:t>
            </w: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r.</w:t>
            </w:r>
            <w:r>
              <w:rPr>
                <w:rFonts w:ascii="Arial" w:eastAsia="Cambria" w:hAnsi="Arial" w:cs="Arial"/>
                <w:sz w:val="20"/>
                <w:szCs w:val="20"/>
                <w:lang w:eastAsia="en-US"/>
              </w:rPr>
              <w:t>,</w:t>
            </w: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 w </w:t>
            </w:r>
            <w:proofErr w:type="gramStart"/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treści której</w:t>
            </w:r>
            <w:proofErr w:type="gramEnd"/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 xml:space="preserve"> jako beneficjent gwarancji został podany Dyrektor Izby Celnej w Katowicach.</w:t>
            </w:r>
          </w:p>
          <w:p w:rsidR="00036A14" w:rsidRPr="00036A14" w:rsidRDefault="000B1901" w:rsidP="000B1901">
            <w:pPr>
              <w:spacing w:before="120"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B1901">
              <w:rPr>
                <w:rFonts w:ascii="Arial" w:eastAsia="Cambria" w:hAnsi="Arial" w:cs="Arial"/>
                <w:sz w:val="20"/>
                <w:szCs w:val="20"/>
                <w:lang w:eastAsia="en-US"/>
              </w:rPr>
              <w:t>Czy powyższa sytuacja powoduje konieczność złożenia aneksu do powyższej gwarancji w zakresie osoby beneficjenta?</w:t>
            </w:r>
          </w:p>
        </w:tc>
      </w:tr>
      <w:tr w:rsidR="00A42530" w:rsidTr="0014628D">
        <w:trPr>
          <w:cantSplit/>
          <w:trHeight w:val="227"/>
        </w:trPr>
        <w:tc>
          <w:tcPr>
            <w:tcW w:w="10420" w:type="dxa"/>
            <w:gridSpan w:val="3"/>
            <w:vAlign w:val="center"/>
          </w:tcPr>
          <w:p w:rsidR="00A42530" w:rsidRDefault="00A42530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Data ostatniej aktualizacji:    </w:t>
            </w:r>
          </w:p>
          <w:p w:rsidR="00A42530" w:rsidRDefault="00A42530" w:rsidP="00A42530">
            <w:pPr>
              <w:spacing w:after="120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17.02.2017 </w:t>
            </w:r>
            <w:proofErr w:type="gramStart"/>
            <w:r>
              <w:rPr>
                <w:rFonts w:ascii="Arial" w:hAnsi="Arial"/>
                <w:sz w:val="20"/>
              </w:rPr>
              <w:t>r</w:t>
            </w:r>
            <w:proofErr w:type="gramEnd"/>
            <w:r>
              <w:rPr>
                <w:rFonts w:ascii="Arial" w:hAnsi="Arial"/>
                <w:sz w:val="20"/>
              </w:rPr>
              <w:t>.</w:t>
            </w:r>
          </w:p>
        </w:tc>
      </w:tr>
      <w:tr w:rsidR="00F27C19" w:rsidTr="00534F9A">
        <w:trPr>
          <w:cantSplit/>
          <w:trHeight w:val="306"/>
        </w:trPr>
        <w:tc>
          <w:tcPr>
            <w:tcW w:w="3473" w:type="dxa"/>
          </w:tcPr>
          <w:p w:rsidR="00F27C19" w:rsidRDefault="00F27C19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Departament odpowiedzialny za zagadnienie: </w:t>
            </w:r>
          </w:p>
          <w:p w:rsidR="00F27C19" w:rsidRDefault="00F27C19">
            <w:pPr>
              <w:rPr>
                <w:rFonts w:ascii="Arial" w:hAnsi="Arial"/>
                <w:b/>
                <w:sz w:val="20"/>
              </w:rPr>
            </w:pPr>
          </w:p>
          <w:p w:rsidR="00F27C19" w:rsidRDefault="00F27C19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Departament Ceł</w:t>
            </w:r>
          </w:p>
          <w:p w:rsidR="00F27C19" w:rsidRDefault="00F27C19">
            <w:pPr>
              <w:rPr>
                <w:rFonts w:ascii="Calibri" w:hAnsi="Calibri"/>
                <w:i/>
                <w:sz w:val="20"/>
              </w:rPr>
            </w:pPr>
          </w:p>
        </w:tc>
        <w:tc>
          <w:tcPr>
            <w:tcW w:w="6947" w:type="dxa"/>
            <w:gridSpan w:val="2"/>
          </w:tcPr>
          <w:p w:rsidR="00F27C19" w:rsidRDefault="00F27C19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Wydział odpowiedzialny za prowadzenie sprawy: </w:t>
            </w:r>
          </w:p>
          <w:p w:rsidR="00F27C19" w:rsidRDefault="00F27C19">
            <w:pPr>
              <w:rPr>
                <w:rFonts w:ascii="Arial" w:hAnsi="Arial"/>
                <w:b/>
                <w:sz w:val="20"/>
              </w:rPr>
            </w:pPr>
          </w:p>
          <w:p w:rsidR="00F27C19" w:rsidRDefault="00F27C19">
            <w:pPr>
              <w:rPr>
                <w:rFonts w:ascii="Arial" w:hAnsi="Arial"/>
                <w:noProof/>
                <w:sz w:val="22"/>
              </w:rPr>
            </w:pPr>
          </w:p>
          <w:p w:rsidR="00F27C19" w:rsidRDefault="00F27C19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noProof/>
                <w:sz w:val="22"/>
              </w:rPr>
              <w:t>Wydział Należności i Zwolnień Celnych</w:t>
            </w:r>
          </w:p>
          <w:p w:rsidR="00F27C19" w:rsidRPr="00655614" w:rsidRDefault="00F27C19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900084">
        <w:trPr>
          <w:cantSplit/>
          <w:trHeight w:val="306"/>
        </w:trPr>
        <w:tc>
          <w:tcPr>
            <w:tcW w:w="10420" w:type="dxa"/>
            <w:gridSpan w:val="3"/>
            <w:shd w:val="clear" w:color="auto" w:fill="808080"/>
            <w:vAlign w:val="center"/>
          </w:tcPr>
          <w:p w:rsidR="00900084" w:rsidRDefault="00900084">
            <w:pPr>
              <w:spacing w:before="120"/>
              <w:rPr>
                <w:rFonts w:ascii="Arial" w:hAnsi="Arial"/>
                <w:b/>
                <w:i/>
                <w:smallCaps/>
                <w:sz w:val="26"/>
              </w:rPr>
            </w:pPr>
            <w:r>
              <w:rPr>
                <w:rFonts w:ascii="Arial" w:hAnsi="Arial"/>
                <w:b/>
                <w:i/>
                <w:smallCaps/>
                <w:sz w:val="26"/>
              </w:rPr>
              <w:t>Stanowisko w sprawie</w:t>
            </w:r>
          </w:p>
        </w:tc>
      </w:tr>
      <w:tr w:rsidR="00900084" w:rsidTr="000B1901">
        <w:trPr>
          <w:cantSplit/>
          <w:trHeight w:val="3350"/>
        </w:trPr>
        <w:tc>
          <w:tcPr>
            <w:tcW w:w="10420" w:type="dxa"/>
            <w:gridSpan w:val="3"/>
            <w:vAlign w:val="center"/>
          </w:tcPr>
          <w:p w:rsidR="000B1901" w:rsidRPr="000B1901" w:rsidRDefault="000B1901" w:rsidP="000B1901">
            <w:pPr>
              <w:spacing w:before="120"/>
              <w:jc w:val="both"/>
              <w:rPr>
                <w:rFonts w:ascii="Arial" w:eastAsia="Cambria" w:hAnsi="Arial" w:cs="Arial"/>
                <w:sz w:val="20"/>
                <w:szCs w:val="20"/>
              </w:rPr>
            </w:pP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Zakładając, że „stara” gwarancja (a nie sam aneks w zakresie terminu ważności) została już złożona i przyjęta przez organ celny w sytuacji opisanej na stronie </w:t>
            </w:r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http</w:t>
            </w:r>
            <w:proofErr w:type="gramStart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://www</w:t>
            </w:r>
            <w:proofErr w:type="gramEnd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.</w:t>
            </w:r>
            <w:proofErr w:type="gramStart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finanse</w:t>
            </w:r>
            <w:proofErr w:type="gramEnd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.</w:t>
            </w:r>
            <w:proofErr w:type="gramStart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mf</w:t>
            </w:r>
            <w:proofErr w:type="gramEnd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.</w:t>
            </w:r>
            <w:proofErr w:type="gramStart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gov</w:t>
            </w:r>
            <w:proofErr w:type="gramEnd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.</w:t>
            </w:r>
            <w:proofErr w:type="gramStart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>pl</w:t>
            </w:r>
            <w:proofErr w:type="gramEnd"/>
            <w:r w:rsidRPr="000B1901">
              <w:rPr>
                <w:rFonts w:ascii="Arial" w:eastAsia="Cambria" w:hAnsi="Arial" w:cs="Arial"/>
                <w:color w:val="0070C0"/>
                <w:sz w:val="20"/>
                <w:szCs w:val="20"/>
              </w:rPr>
              <w:t xml:space="preserve">/clo/unijny-kodeks-celny-wdrozenie/ukc 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pod linkiem „Zabezpieczenie długu celnego”, tzn. dotyczy pozwolenia na złożenie zabezpieczenia generalnego, które zachowało ważność po </w:t>
            </w:r>
            <w:r>
              <w:rPr>
                <w:rFonts w:ascii="Arial" w:eastAsia="Cambria" w:hAnsi="Arial" w:cs="Arial"/>
                <w:sz w:val="20"/>
                <w:szCs w:val="20"/>
              </w:rPr>
              <w:t xml:space="preserve">dniu 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>30 kwietnia 2016 r., czyli jest niejako kontynuacją złożonego na</w:t>
            </w:r>
            <w:r>
              <w:rPr>
                <w:rFonts w:ascii="Arial" w:eastAsia="Cambria" w:hAnsi="Arial" w:cs="Arial"/>
                <w:sz w:val="20"/>
                <w:szCs w:val="20"/>
              </w:rPr>
              <w:t> 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podstawie tego pozwolenia zabezpieczenia generalnego ważnego do </w:t>
            </w:r>
            <w:r>
              <w:rPr>
                <w:rFonts w:ascii="Arial" w:eastAsia="Cambria" w:hAnsi="Arial" w:cs="Arial"/>
                <w:sz w:val="20"/>
                <w:szCs w:val="20"/>
              </w:rPr>
              <w:t xml:space="preserve">dnia 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3 marca 2017 r., to w związku z art. 235 ustawy z dnia 16 listopada 2016 r. - Przepisy wprowadzające ustawę o Krajowej Administracji Skarbowej (Dz. U. </w:t>
            </w:r>
            <w:proofErr w:type="gramStart"/>
            <w:r w:rsidRPr="000B1901">
              <w:rPr>
                <w:rFonts w:ascii="Arial" w:eastAsia="Cambria" w:hAnsi="Arial" w:cs="Arial"/>
                <w:sz w:val="20"/>
                <w:szCs w:val="20"/>
              </w:rPr>
              <w:t>poz</w:t>
            </w:r>
            <w:proofErr w:type="gramEnd"/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. 1948, z </w:t>
            </w:r>
            <w:proofErr w:type="spellStart"/>
            <w:r w:rsidRPr="000B1901">
              <w:rPr>
                <w:rFonts w:ascii="Arial" w:eastAsia="Cambria" w:hAnsi="Arial" w:cs="Arial"/>
                <w:sz w:val="20"/>
                <w:szCs w:val="20"/>
              </w:rPr>
              <w:t>późn</w:t>
            </w:r>
            <w:proofErr w:type="spellEnd"/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. </w:t>
            </w:r>
            <w:proofErr w:type="gramStart"/>
            <w:r w:rsidRPr="000B1901">
              <w:rPr>
                <w:rFonts w:ascii="Arial" w:eastAsia="Cambria" w:hAnsi="Arial" w:cs="Arial"/>
                <w:sz w:val="20"/>
                <w:szCs w:val="20"/>
              </w:rPr>
              <w:t>zm</w:t>
            </w:r>
            <w:proofErr w:type="gramEnd"/>
            <w:r w:rsidRPr="000B1901">
              <w:rPr>
                <w:rFonts w:ascii="Arial" w:eastAsia="Cambria" w:hAnsi="Arial" w:cs="Arial"/>
                <w:sz w:val="20"/>
                <w:szCs w:val="20"/>
              </w:rPr>
              <w:t>.)</w:t>
            </w:r>
            <w:r>
              <w:rPr>
                <w:rFonts w:ascii="Arial" w:eastAsia="Cambria" w:hAnsi="Arial" w:cs="Arial"/>
                <w:sz w:val="20"/>
                <w:szCs w:val="20"/>
              </w:rPr>
              <w:t xml:space="preserve"> 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>nie wystąpi konieczność złożenia aneksu do tej gwarancji w zakresie osoby beneficjenta.</w:t>
            </w:r>
          </w:p>
          <w:p w:rsidR="000B1901" w:rsidRPr="000B1901" w:rsidRDefault="000B1901" w:rsidP="000B1901">
            <w:pPr>
              <w:spacing w:before="120"/>
              <w:jc w:val="both"/>
              <w:rPr>
                <w:rFonts w:ascii="Arial" w:eastAsia="Cambria" w:hAnsi="Arial" w:cs="Arial"/>
                <w:sz w:val="20"/>
                <w:szCs w:val="20"/>
              </w:rPr>
            </w:pP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Natomiast w składanych od </w:t>
            </w:r>
            <w:r>
              <w:rPr>
                <w:rFonts w:ascii="Arial" w:eastAsia="Cambria" w:hAnsi="Arial" w:cs="Arial"/>
                <w:sz w:val="20"/>
                <w:szCs w:val="20"/>
              </w:rPr>
              <w:t xml:space="preserve">dnia 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1 marca 2017 r. „starych” gwarancjach (w przypadku, gdy gwarant nie składa jedynie aneksu w zakresie terminu ważności dotychczasowej gwarancji) jej beneficjenta należy </w:t>
            </w:r>
            <w:proofErr w:type="gramStart"/>
            <w:r w:rsidRPr="000B1901">
              <w:rPr>
                <w:rFonts w:ascii="Arial" w:eastAsia="Cambria" w:hAnsi="Arial" w:cs="Arial"/>
                <w:sz w:val="20"/>
                <w:szCs w:val="20"/>
              </w:rPr>
              <w:t>wskazać jako</w:t>
            </w:r>
            <w:proofErr w:type="gramEnd"/>
            <w:r w:rsidRPr="000B1901">
              <w:rPr>
                <w:rFonts w:ascii="Arial" w:eastAsia="Cambria" w:hAnsi="Arial" w:cs="Arial"/>
                <w:sz w:val="20"/>
                <w:szCs w:val="20"/>
              </w:rPr>
              <w:t>:</w:t>
            </w:r>
          </w:p>
          <w:p w:rsidR="000B1901" w:rsidRPr="000B1901" w:rsidRDefault="000B1901" w:rsidP="000B1901">
            <w:pPr>
              <w:spacing w:before="120"/>
              <w:jc w:val="both"/>
              <w:rPr>
                <w:rFonts w:ascii="Arial" w:eastAsia="Cambria" w:hAnsi="Arial" w:cs="Arial"/>
                <w:b/>
                <w:sz w:val="20"/>
                <w:szCs w:val="20"/>
              </w:rPr>
            </w:pPr>
            <w:r w:rsidRPr="000B1901">
              <w:rPr>
                <w:rFonts w:ascii="Arial" w:eastAsia="Cambria" w:hAnsi="Arial" w:cs="Arial"/>
                <w:b/>
                <w:sz w:val="20"/>
                <w:szCs w:val="20"/>
              </w:rPr>
              <w:t>Skarb Państwa reprezentowany przez właściwy organ będący wierzycielem należności</w:t>
            </w:r>
            <w:r w:rsidRPr="000E3DD3">
              <w:rPr>
                <w:rFonts w:ascii="Arial" w:eastAsia="Cambria" w:hAnsi="Arial" w:cs="Arial"/>
                <w:sz w:val="20"/>
                <w:szCs w:val="20"/>
                <w:vertAlign w:val="superscript"/>
              </w:rPr>
              <w:t>[1]</w:t>
            </w:r>
            <w:r w:rsidRPr="000B1901">
              <w:rPr>
                <w:rFonts w:ascii="Arial" w:eastAsia="Cambria" w:hAnsi="Arial" w:cs="Arial"/>
                <w:b/>
                <w:sz w:val="20"/>
                <w:szCs w:val="20"/>
              </w:rPr>
              <w:t>, objętych niniejszą gwarancją, zwany dalej „Beneficjentem”</w:t>
            </w:r>
          </w:p>
          <w:p w:rsidR="00900084" w:rsidRDefault="000B1901" w:rsidP="000E3DD3">
            <w:pPr>
              <w:spacing w:after="120"/>
              <w:jc w:val="both"/>
              <w:rPr>
                <w:rFonts w:ascii="Arial" w:hAnsi="Arial"/>
                <w:b/>
                <w:smallCaps/>
                <w:sz w:val="22"/>
              </w:rPr>
            </w:pPr>
            <w:r w:rsidRPr="000E3DD3">
              <w:rPr>
                <w:rFonts w:ascii="Arial" w:eastAsia="Cambria" w:hAnsi="Arial" w:cs="Arial"/>
                <w:sz w:val="20"/>
                <w:szCs w:val="20"/>
                <w:vertAlign w:val="superscript"/>
              </w:rPr>
              <w:t>[</w:t>
            </w:r>
            <w:r w:rsidRPr="000E3DD3">
              <w:rPr>
                <w:rFonts w:ascii="Arial" w:eastAsia="Cambria" w:hAnsi="Arial" w:cs="Arial"/>
                <w:sz w:val="18"/>
                <w:szCs w:val="18"/>
                <w:vertAlign w:val="superscript"/>
              </w:rPr>
              <w:t>1]</w:t>
            </w:r>
            <w:r w:rsidRPr="000B1901">
              <w:rPr>
                <w:rFonts w:ascii="Arial" w:eastAsia="Cambria" w:hAnsi="Arial" w:cs="Arial"/>
                <w:sz w:val="18"/>
                <w:szCs w:val="18"/>
              </w:rPr>
              <w:t xml:space="preserve"> Zgodnie z przepisami ustawy z dnia 17 czerwca 1966 r. o postępowaniu egzekucyjnym w administracji (Dz. U. </w:t>
            </w:r>
            <w:proofErr w:type="gramStart"/>
            <w:r w:rsidRPr="000B1901">
              <w:rPr>
                <w:rFonts w:ascii="Arial" w:eastAsia="Cambria" w:hAnsi="Arial" w:cs="Arial"/>
                <w:sz w:val="18"/>
                <w:szCs w:val="18"/>
              </w:rPr>
              <w:t>z</w:t>
            </w:r>
            <w:proofErr w:type="gramEnd"/>
            <w:r w:rsidRPr="000B1901">
              <w:rPr>
                <w:rFonts w:ascii="Arial" w:eastAsia="Cambria" w:hAnsi="Arial" w:cs="Arial"/>
                <w:sz w:val="18"/>
                <w:szCs w:val="18"/>
              </w:rPr>
              <w:t xml:space="preserve"> 2016 r. poz. 599, z </w:t>
            </w:r>
            <w:proofErr w:type="spellStart"/>
            <w:r w:rsidRPr="000B1901">
              <w:rPr>
                <w:rFonts w:ascii="Arial" w:eastAsia="Cambria" w:hAnsi="Arial" w:cs="Arial"/>
                <w:sz w:val="18"/>
                <w:szCs w:val="18"/>
              </w:rPr>
              <w:t>późn</w:t>
            </w:r>
            <w:proofErr w:type="spellEnd"/>
            <w:r w:rsidRPr="000B1901">
              <w:rPr>
                <w:rFonts w:ascii="Arial" w:eastAsia="Cambria" w:hAnsi="Arial" w:cs="Arial"/>
                <w:sz w:val="18"/>
                <w:szCs w:val="18"/>
              </w:rPr>
              <w:t xml:space="preserve">. </w:t>
            </w:r>
            <w:proofErr w:type="gramStart"/>
            <w:r w:rsidRPr="000B1901">
              <w:rPr>
                <w:rFonts w:ascii="Arial" w:eastAsia="Cambria" w:hAnsi="Arial" w:cs="Arial"/>
                <w:sz w:val="18"/>
                <w:szCs w:val="18"/>
              </w:rPr>
              <w:t>zm</w:t>
            </w:r>
            <w:proofErr w:type="gramEnd"/>
            <w:r w:rsidRPr="000B1901">
              <w:rPr>
                <w:rFonts w:ascii="Arial" w:eastAsia="Cambria" w:hAnsi="Arial" w:cs="Arial"/>
                <w:sz w:val="18"/>
                <w:szCs w:val="18"/>
              </w:rPr>
              <w:t>.).</w:t>
            </w:r>
            <w:r w:rsidRPr="000B1901">
              <w:rPr>
                <w:rFonts w:ascii="Arial" w:eastAsia="Cambria" w:hAnsi="Arial" w:cs="Arial"/>
                <w:sz w:val="20"/>
                <w:szCs w:val="20"/>
              </w:rPr>
              <w:t xml:space="preserve"> </w:t>
            </w:r>
            <w:r w:rsidR="00A42530" w:rsidRPr="00A42530">
              <w:rPr>
                <w:rFonts w:ascii="Arial" w:eastAsia="Cambria" w:hAnsi="Arial" w:cs="Arial"/>
                <w:sz w:val="18"/>
                <w:szCs w:val="18"/>
              </w:rPr>
              <w:t xml:space="preserve"> </w:t>
            </w:r>
          </w:p>
        </w:tc>
      </w:tr>
      <w:tr w:rsidR="00900084">
        <w:trPr>
          <w:cantSplit/>
          <w:trHeight w:val="306"/>
        </w:trPr>
        <w:tc>
          <w:tcPr>
            <w:tcW w:w="10420" w:type="dxa"/>
            <w:gridSpan w:val="3"/>
            <w:vAlign w:val="center"/>
          </w:tcPr>
          <w:p w:rsidR="00900084" w:rsidRPr="00104EC1" w:rsidRDefault="00900084" w:rsidP="001D6F31">
            <w:pPr>
              <w:spacing w:before="120"/>
              <w:rPr>
                <w:rFonts w:ascii="Arial" w:hAnsi="Arial"/>
                <w:b/>
                <w:sz w:val="20"/>
              </w:rPr>
            </w:pPr>
            <w:r w:rsidRPr="00104EC1">
              <w:rPr>
                <w:rFonts w:ascii="Arial" w:hAnsi="Arial"/>
                <w:b/>
                <w:sz w:val="20"/>
              </w:rPr>
              <w:t>Podstawy prawne</w:t>
            </w:r>
            <w:r w:rsidR="001D6F31">
              <w:rPr>
                <w:rFonts w:ascii="Arial" w:hAnsi="Arial"/>
                <w:b/>
                <w:sz w:val="20"/>
              </w:rPr>
              <w:t>:</w:t>
            </w:r>
          </w:p>
          <w:p w:rsidR="00900084" w:rsidRPr="00104EC1" w:rsidRDefault="001D6F31" w:rsidP="00DB1021">
            <w:pPr>
              <w:spacing w:line="300" w:lineRule="auto"/>
              <w:ind w:firstLine="539"/>
              <w:rPr>
                <w:rFonts w:ascii="Arial" w:hAnsi="Arial"/>
                <w:b/>
                <w:sz w:val="20"/>
              </w:rPr>
            </w:pPr>
            <w:r>
              <w:rPr>
                <w:rFonts w:ascii="Arial" w:eastAsia="Cambria" w:hAnsi="Arial" w:cs="Arial"/>
                <w:sz w:val="20"/>
                <w:szCs w:val="20"/>
              </w:rPr>
              <w:t xml:space="preserve">- </w:t>
            </w:r>
            <w:r w:rsidR="00A42530" w:rsidRPr="00A42530">
              <w:rPr>
                <w:rFonts w:ascii="Arial" w:eastAsia="Cambria" w:hAnsi="Arial" w:cs="Arial"/>
                <w:sz w:val="20"/>
                <w:szCs w:val="20"/>
              </w:rPr>
              <w:t xml:space="preserve">art. 235 ustawy z dnia 16 listopada 2016 r. - Przepisy wprowadzające ustawę o Krajowej Administracji Skarbowej (Dz. U. </w:t>
            </w:r>
            <w:proofErr w:type="gramStart"/>
            <w:r w:rsidR="00A42530" w:rsidRPr="00A42530">
              <w:rPr>
                <w:rFonts w:ascii="Arial" w:eastAsia="Cambria" w:hAnsi="Arial" w:cs="Arial"/>
                <w:sz w:val="20"/>
                <w:szCs w:val="20"/>
              </w:rPr>
              <w:t>poz</w:t>
            </w:r>
            <w:proofErr w:type="gramEnd"/>
            <w:r w:rsidR="00A42530" w:rsidRPr="00A42530">
              <w:rPr>
                <w:rFonts w:ascii="Arial" w:eastAsia="Cambria" w:hAnsi="Arial" w:cs="Arial"/>
                <w:sz w:val="20"/>
                <w:szCs w:val="20"/>
              </w:rPr>
              <w:t>. 1948</w:t>
            </w:r>
            <w:r w:rsidR="00437322">
              <w:rPr>
                <w:rFonts w:ascii="Arial" w:eastAsia="Cambria" w:hAnsi="Arial" w:cs="Arial"/>
                <w:sz w:val="20"/>
                <w:szCs w:val="20"/>
              </w:rPr>
              <w:t xml:space="preserve">, z </w:t>
            </w:r>
            <w:proofErr w:type="spellStart"/>
            <w:r w:rsidR="00437322">
              <w:rPr>
                <w:rFonts w:ascii="Arial" w:eastAsia="Cambria" w:hAnsi="Arial" w:cs="Arial"/>
                <w:sz w:val="20"/>
                <w:szCs w:val="20"/>
              </w:rPr>
              <w:t>późn</w:t>
            </w:r>
            <w:proofErr w:type="spellEnd"/>
            <w:r w:rsidR="00437322">
              <w:rPr>
                <w:rFonts w:ascii="Arial" w:eastAsia="Cambria" w:hAnsi="Arial" w:cs="Arial"/>
                <w:sz w:val="20"/>
                <w:szCs w:val="20"/>
              </w:rPr>
              <w:t xml:space="preserve">. </w:t>
            </w:r>
            <w:proofErr w:type="gramStart"/>
            <w:r w:rsidR="00437322">
              <w:rPr>
                <w:rFonts w:ascii="Arial" w:eastAsia="Cambria" w:hAnsi="Arial" w:cs="Arial"/>
                <w:sz w:val="20"/>
                <w:szCs w:val="20"/>
              </w:rPr>
              <w:t>zm</w:t>
            </w:r>
            <w:proofErr w:type="gramEnd"/>
            <w:r w:rsidR="00437322">
              <w:rPr>
                <w:rFonts w:ascii="Arial" w:eastAsia="Cambria" w:hAnsi="Arial" w:cs="Arial"/>
                <w:sz w:val="20"/>
                <w:szCs w:val="20"/>
              </w:rPr>
              <w:t>.</w:t>
            </w:r>
            <w:r w:rsidR="00A42530" w:rsidRPr="00A42530">
              <w:rPr>
                <w:rFonts w:ascii="Arial" w:eastAsia="Cambria" w:hAnsi="Arial" w:cs="Arial"/>
                <w:sz w:val="20"/>
                <w:szCs w:val="20"/>
              </w:rPr>
              <w:t>)</w:t>
            </w:r>
            <w:r w:rsidR="000B1901">
              <w:rPr>
                <w:rFonts w:ascii="Arial" w:eastAsia="Cambria" w:hAnsi="Arial" w:cs="Arial"/>
                <w:sz w:val="20"/>
                <w:szCs w:val="20"/>
              </w:rPr>
              <w:t>.</w:t>
            </w:r>
          </w:p>
          <w:p w:rsidR="00900084" w:rsidRDefault="00900084" w:rsidP="000B1901">
            <w:pPr>
              <w:rPr>
                <w:rFonts w:ascii="Arial" w:hAnsi="Arial"/>
                <w:b/>
                <w:smallCaps/>
                <w:sz w:val="26"/>
              </w:rPr>
            </w:pPr>
          </w:p>
        </w:tc>
      </w:tr>
    </w:tbl>
    <w:p w:rsidR="00900084" w:rsidRDefault="00900084" w:rsidP="00462249"/>
    <w:sectPr w:rsidR="00900084" w:rsidSect="00A2681A">
      <w:pgSz w:w="11906" w:h="16838" w:code="9"/>
      <w:pgMar w:top="142" w:right="851" w:bottom="5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7B54" w:rsidRDefault="000D7B54" w:rsidP="00104EC1">
      <w:r>
        <w:separator/>
      </w:r>
    </w:p>
  </w:endnote>
  <w:endnote w:type="continuationSeparator" w:id="0">
    <w:p w:rsidR="000D7B54" w:rsidRDefault="000D7B54" w:rsidP="00104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7B54" w:rsidRDefault="000D7B54" w:rsidP="00104EC1">
      <w:r>
        <w:separator/>
      </w:r>
    </w:p>
  </w:footnote>
  <w:footnote w:type="continuationSeparator" w:id="0">
    <w:p w:rsidR="000D7B54" w:rsidRDefault="000D7B54" w:rsidP="00104E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9458B"/>
    <w:multiLevelType w:val="hybridMultilevel"/>
    <w:tmpl w:val="6DD050F8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3C48B8"/>
    <w:multiLevelType w:val="hybridMultilevel"/>
    <w:tmpl w:val="1054B76A"/>
    <w:lvl w:ilvl="0" w:tplc="2422848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ahoma" w:hint="default"/>
      </w:rPr>
    </w:lvl>
    <w:lvl w:ilvl="1" w:tplc="A17C912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A11412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D0B0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38FD1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9B8E3D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7CBF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46B2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82C8AB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160E03"/>
    <w:multiLevelType w:val="hybridMultilevel"/>
    <w:tmpl w:val="572ED1AC"/>
    <w:lvl w:ilvl="0" w:tplc="0F800F4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65FE3106" w:tentative="1">
      <w:start w:val="1"/>
      <w:numFmt w:val="lowerLetter"/>
      <w:lvlText w:val="%2."/>
      <w:lvlJc w:val="left"/>
      <w:pPr>
        <w:ind w:left="1140" w:hanging="360"/>
      </w:pPr>
    </w:lvl>
    <w:lvl w:ilvl="2" w:tplc="03CAD74C" w:tentative="1">
      <w:start w:val="1"/>
      <w:numFmt w:val="lowerRoman"/>
      <w:lvlText w:val="%3."/>
      <w:lvlJc w:val="right"/>
      <w:pPr>
        <w:ind w:left="1860" w:hanging="180"/>
      </w:pPr>
    </w:lvl>
    <w:lvl w:ilvl="3" w:tplc="1F2C2FDE" w:tentative="1">
      <w:start w:val="1"/>
      <w:numFmt w:val="decimal"/>
      <w:lvlText w:val="%4."/>
      <w:lvlJc w:val="left"/>
      <w:pPr>
        <w:ind w:left="2580" w:hanging="360"/>
      </w:pPr>
    </w:lvl>
    <w:lvl w:ilvl="4" w:tplc="A0AEB734" w:tentative="1">
      <w:start w:val="1"/>
      <w:numFmt w:val="lowerLetter"/>
      <w:lvlText w:val="%5."/>
      <w:lvlJc w:val="left"/>
      <w:pPr>
        <w:ind w:left="3300" w:hanging="360"/>
      </w:pPr>
    </w:lvl>
    <w:lvl w:ilvl="5" w:tplc="FA7C176E" w:tentative="1">
      <w:start w:val="1"/>
      <w:numFmt w:val="lowerRoman"/>
      <w:lvlText w:val="%6."/>
      <w:lvlJc w:val="right"/>
      <w:pPr>
        <w:ind w:left="4020" w:hanging="180"/>
      </w:pPr>
    </w:lvl>
    <w:lvl w:ilvl="6" w:tplc="51DE10EC" w:tentative="1">
      <w:start w:val="1"/>
      <w:numFmt w:val="decimal"/>
      <w:lvlText w:val="%7."/>
      <w:lvlJc w:val="left"/>
      <w:pPr>
        <w:ind w:left="4740" w:hanging="360"/>
      </w:pPr>
    </w:lvl>
    <w:lvl w:ilvl="7" w:tplc="6B30AC58" w:tentative="1">
      <w:start w:val="1"/>
      <w:numFmt w:val="lowerLetter"/>
      <w:lvlText w:val="%8."/>
      <w:lvlJc w:val="left"/>
      <w:pPr>
        <w:ind w:left="5460" w:hanging="360"/>
      </w:pPr>
    </w:lvl>
    <w:lvl w:ilvl="8" w:tplc="3B2446B8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24B6149D"/>
    <w:multiLevelType w:val="hybridMultilevel"/>
    <w:tmpl w:val="230C07C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623CF0"/>
    <w:multiLevelType w:val="hybridMultilevel"/>
    <w:tmpl w:val="0A3C0C68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3FD3765"/>
    <w:multiLevelType w:val="hybridMultilevel"/>
    <w:tmpl w:val="0D0AB452"/>
    <w:lvl w:ilvl="0" w:tplc="1CA4340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697AC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38A52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3203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FA8A4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5A0F88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F4469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6A81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56644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E161EE"/>
    <w:multiLevelType w:val="hybridMultilevel"/>
    <w:tmpl w:val="776CEFB4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1A49F8"/>
    <w:multiLevelType w:val="hybridMultilevel"/>
    <w:tmpl w:val="F71A2726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7"/>
  </w:num>
  <w:num w:numId="5">
    <w:abstractNumId w:val="0"/>
  </w:num>
  <w:num w:numId="6">
    <w:abstractNumId w:val="3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340"/>
    <w:rsid w:val="00036A14"/>
    <w:rsid w:val="00044867"/>
    <w:rsid w:val="00081CB5"/>
    <w:rsid w:val="000945F2"/>
    <w:rsid w:val="00094A36"/>
    <w:rsid w:val="000B1901"/>
    <w:rsid w:val="000D7B54"/>
    <w:rsid w:val="000E3DD3"/>
    <w:rsid w:val="00104EC1"/>
    <w:rsid w:val="0012249A"/>
    <w:rsid w:val="001315DC"/>
    <w:rsid w:val="001434A2"/>
    <w:rsid w:val="00176677"/>
    <w:rsid w:val="0019634E"/>
    <w:rsid w:val="00196FB5"/>
    <w:rsid w:val="001D6F31"/>
    <w:rsid w:val="002306E6"/>
    <w:rsid w:val="00250949"/>
    <w:rsid w:val="002D4CFB"/>
    <w:rsid w:val="003277AD"/>
    <w:rsid w:val="003F0FAA"/>
    <w:rsid w:val="00400BBA"/>
    <w:rsid w:val="0043510A"/>
    <w:rsid w:val="00437322"/>
    <w:rsid w:val="00462249"/>
    <w:rsid w:val="00472A3E"/>
    <w:rsid w:val="00495974"/>
    <w:rsid w:val="005A0A9F"/>
    <w:rsid w:val="005C4869"/>
    <w:rsid w:val="005C7E8F"/>
    <w:rsid w:val="005F65E6"/>
    <w:rsid w:val="0063687D"/>
    <w:rsid w:val="00646DD9"/>
    <w:rsid w:val="006523CE"/>
    <w:rsid w:val="00655614"/>
    <w:rsid w:val="00686AF3"/>
    <w:rsid w:val="00697037"/>
    <w:rsid w:val="006C7EDA"/>
    <w:rsid w:val="007208D0"/>
    <w:rsid w:val="007417DA"/>
    <w:rsid w:val="00793F79"/>
    <w:rsid w:val="00900084"/>
    <w:rsid w:val="00937EA2"/>
    <w:rsid w:val="009B7CBE"/>
    <w:rsid w:val="009C172D"/>
    <w:rsid w:val="009C3DC8"/>
    <w:rsid w:val="009F75F9"/>
    <w:rsid w:val="00A2681A"/>
    <w:rsid w:val="00A42530"/>
    <w:rsid w:val="00A52340"/>
    <w:rsid w:val="00AE2441"/>
    <w:rsid w:val="00B07CD5"/>
    <w:rsid w:val="00B40BD2"/>
    <w:rsid w:val="00B41426"/>
    <w:rsid w:val="00B639AE"/>
    <w:rsid w:val="00B67F3A"/>
    <w:rsid w:val="00BA73C4"/>
    <w:rsid w:val="00BF7904"/>
    <w:rsid w:val="00D228A7"/>
    <w:rsid w:val="00D666E7"/>
    <w:rsid w:val="00D81A15"/>
    <w:rsid w:val="00DA1574"/>
    <w:rsid w:val="00DB1021"/>
    <w:rsid w:val="00DB4E54"/>
    <w:rsid w:val="00E62B3B"/>
    <w:rsid w:val="00EB42F1"/>
    <w:rsid w:val="00F1686D"/>
    <w:rsid w:val="00F20EE2"/>
    <w:rsid w:val="00F27C19"/>
    <w:rsid w:val="00F757D8"/>
    <w:rsid w:val="00FC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semiHidden/>
    <w:pPr>
      <w:spacing w:line="240" w:lineRule="atLeast"/>
    </w:pPr>
    <w:rPr>
      <w:color w:val="000000"/>
      <w:szCs w:val="20"/>
    </w:rPr>
  </w:style>
  <w:style w:type="paragraph" w:styleId="Tekstdymka">
    <w:name w:val="Balloon Text"/>
    <w:basedOn w:val="Normalny"/>
    <w:semiHidden/>
    <w:rPr>
      <w:rFonts w:ascii="Tahoma" w:hAnsi="Tahoma" w:cs="ArialMT"/>
      <w:sz w:val="16"/>
      <w:szCs w:val="16"/>
    </w:rPr>
  </w:style>
  <w:style w:type="paragraph" w:styleId="Tekstpodstawowy">
    <w:name w:val="Body Text"/>
    <w:basedOn w:val="Normalny"/>
    <w:semiHidden/>
    <w:pPr>
      <w:jc w:val="both"/>
    </w:pPr>
    <w:rPr>
      <w:rFonts w:ascii="Arial" w:hAnsi="Arial"/>
      <w:sz w:val="22"/>
    </w:rPr>
  </w:style>
  <w:style w:type="character" w:styleId="Hipercze">
    <w:name w:val="Hyperlink"/>
    <w:basedOn w:val="Domylnaczcionkaakapitu"/>
    <w:uiPriority w:val="99"/>
    <w:unhideWhenUsed/>
    <w:rsid w:val="00DA1574"/>
    <w:rPr>
      <w:color w:val="0000FF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04EC1"/>
    <w:rPr>
      <w:rFonts w:ascii="Cambria" w:eastAsia="Cambria" w:hAnsi="Cambria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04EC1"/>
    <w:rPr>
      <w:rFonts w:ascii="Cambria" w:eastAsia="Cambria" w:hAnsi="Cambria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04EC1"/>
    <w:rPr>
      <w:vertAlign w:val="superscript"/>
    </w:rPr>
  </w:style>
  <w:style w:type="paragraph" w:styleId="Akapitzlist">
    <w:name w:val="List Paragraph"/>
    <w:basedOn w:val="Normalny"/>
    <w:uiPriority w:val="34"/>
    <w:qFormat/>
    <w:rsid w:val="000448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semiHidden/>
    <w:pPr>
      <w:spacing w:line="240" w:lineRule="atLeast"/>
    </w:pPr>
    <w:rPr>
      <w:color w:val="000000"/>
      <w:szCs w:val="20"/>
    </w:rPr>
  </w:style>
  <w:style w:type="paragraph" w:styleId="Tekstdymka">
    <w:name w:val="Balloon Text"/>
    <w:basedOn w:val="Normalny"/>
    <w:semiHidden/>
    <w:rPr>
      <w:rFonts w:ascii="Tahoma" w:hAnsi="Tahoma" w:cs="ArialMT"/>
      <w:sz w:val="16"/>
      <w:szCs w:val="16"/>
    </w:rPr>
  </w:style>
  <w:style w:type="paragraph" w:styleId="Tekstpodstawowy">
    <w:name w:val="Body Text"/>
    <w:basedOn w:val="Normalny"/>
    <w:semiHidden/>
    <w:pPr>
      <w:jc w:val="both"/>
    </w:pPr>
    <w:rPr>
      <w:rFonts w:ascii="Arial" w:hAnsi="Arial"/>
      <w:sz w:val="22"/>
    </w:rPr>
  </w:style>
  <w:style w:type="character" w:styleId="Hipercze">
    <w:name w:val="Hyperlink"/>
    <w:basedOn w:val="Domylnaczcionkaakapitu"/>
    <w:uiPriority w:val="99"/>
    <w:unhideWhenUsed/>
    <w:rsid w:val="00DA1574"/>
    <w:rPr>
      <w:color w:val="0000FF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04EC1"/>
    <w:rPr>
      <w:rFonts w:ascii="Cambria" w:eastAsia="Cambria" w:hAnsi="Cambria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04EC1"/>
    <w:rPr>
      <w:rFonts w:ascii="Cambria" w:eastAsia="Cambria" w:hAnsi="Cambria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04EC1"/>
    <w:rPr>
      <w:vertAlign w:val="superscript"/>
    </w:rPr>
  </w:style>
  <w:style w:type="paragraph" w:styleId="Akapitzlist">
    <w:name w:val="List Paragraph"/>
    <w:basedOn w:val="Normalny"/>
    <w:uiPriority w:val="34"/>
    <w:qFormat/>
    <w:rsid w:val="000448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9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372</Words>
  <Characters>2235</Characters>
  <Application>Microsoft Office Word</Application>
  <DocSecurity>0</DocSecurity>
  <Lines>18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Unijny Kodeks Celny</vt:lpstr>
      <vt:lpstr>Unijny Kodeks Celny</vt:lpstr>
    </vt:vector>
  </TitlesOfParts>
  <Company>Ministerstwo Finansów</Company>
  <LinksUpToDate>false</LinksUpToDate>
  <CharactersWithSpaces>2602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Unijny Kodeks Celny</dc:title>
  <dc:creator>Filipowicz-Mercer Kinga</dc:creator>
  <cp:lastModifiedBy>Maj Jerzy</cp:lastModifiedBy>
  <cp:revision>6</cp:revision>
  <dcterms:created xsi:type="dcterms:W3CDTF">2017-02-17T09:28:00Z</dcterms:created>
  <dcterms:modified xsi:type="dcterms:W3CDTF">2017-02-17T13:21:00Z</dcterms:modified>
</cp:coreProperties>
</file>