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1241" w:rsidRPr="00261241" w:rsidRDefault="00261241" w:rsidP="00261241">
      <w:pPr>
        <w:spacing w:before="120" w:after="120"/>
        <w:ind w:firstLine="720"/>
        <w:jc w:val="both"/>
        <w:rPr>
          <w:rFonts w:ascii="Times New Roman" w:hAnsi="Times New Roman"/>
          <w:b/>
          <w:color w:val="000000"/>
          <w:lang w:eastAsia="en-GB"/>
        </w:rPr>
      </w:pPr>
      <w:bookmarkStart w:id="0" w:name="_GoBack"/>
      <w:bookmarkEnd w:id="0"/>
      <w:r w:rsidRPr="00261241">
        <w:rPr>
          <w:rFonts w:ascii="Times New Roman" w:hAnsi="Times New Roman"/>
          <w:b/>
          <w:color w:val="000000"/>
          <w:lang w:eastAsia="en-GB"/>
        </w:rPr>
        <w:t>Wyjaśnienia dla przedsiębiorców w sprawie trybu postępowania z towarami przebywającymi w składzie celnym po ponownej ocenie pozwolenia na prowadzenie składu celnego (</w:t>
      </w:r>
      <w:r>
        <w:rPr>
          <w:rFonts w:ascii="Times New Roman" w:hAnsi="Times New Roman"/>
          <w:b/>
          <w:color w:val="000000"/>
          <w:lang w:eastAsia="en-GB"/>
        </w:rPr>
        <w:t xml:space="preserve">Departament Ceł w Ministerstwie Finansów - </w:t>
      </w:r>
      <w:r w:rsidRPr="00261241">
        <w:rPr>
          <w:rFonts w:ascii="Times New Roman" w:hAnsi="Times New Roman"/>
          <w:b/>
          <w:color w:val="000000"/>
          <w:lang w:eastAsia="en-GB"/>
        </w:rPr>
        <w:t>wrzesień 2018 r.):</w:t>
      </w:r>
    </w:p>
    <w:p w:rsidR="00261241" w:rsidRDefault="00261241" w:rsidP="00261241">
      <w:pPr>
        <w:spacing w:before="120" w:after="120"/>
        <w:ind w:firstLine="720"/>
        <w:jc w:val="both"/>
        <w:rPr>
          <w:rFonts w:ascii="Times New Roman" w:hAnsi="Times New Roman"/>
          <w:color w:val="000000"/>
          <w:lang w:eastAsia="en-GB"/>
        </w:rPr>
      </w:pPr>
    </w:p>
    <w:p w:rsidR="00C42745" w:rsidRDefault="00C42745" w:rsidP="00261241">
      <w:pPr>
        <w:spacing w:before="120" w:after="120"/>
        <w:ind w:firstLine="720"/>
        <w:jc w:val="both"/>
        <w:rPr>
          <w:rFonts w:ascii="Times New Roman" w:hAnsi="Times New Roman"/>
          <w:lang w:eastAsia="en-GB"/>
        </w:rPr>
      </w:pPr>
      <w:r>
        <w:rPr>
          <w:rFonts w:ascii="Times New Roman" w:hAnsi="Times New Roman"/>
          <w:lang w:eastAsia="en-GB"/>
        </w:rPr>
        <w:t xml:space="preserve">W związku ze zgłaszanymi wątpliwościami dotyczącymi </w:t>
      </w:r>
      <w:r>
        <w:rPr>
          <w:rFonts w:ascii="Times New Roman" w:hAnsi="Times New Roman"/>
          <w:color w:val="000000"/>
          <w:lang w:eastAsia="en-GB"/>
        </w:rPr>
        <w:t>właściwego trybu postępowania z towarami wprowadzonymi do składu celnego przed dniem wejścia w życie pozwolenia na prowadzenie składu celnego, wydanego w następstwie ponownej oceny, i znajdującymi się nadal w tym składzie po wejściu w życie nowego pozwolenia</w:t>
      </w:r>
      <w:r>
        <w:rPr>
          <w:rFonts w:ascii="Times New Roman" w:hAnsi="Times New Roman"/>
          <w:lang w:eastAsia="en-GB"/>
        </w:rPr>
        <w:t xml:space="preserve">, należy </w:t>
      </w:r>
      <w:r w:rsidR="00192AD5">
        <w:rPr>
          <w:rFonts w:ascii="Times New Roman" w:hAnsi="Times New Roman"/>
          <w:lang w:eastAsia="en-GB"/>
        </w:rPr>
        <w:t>przypomnieć</w:t>
      </w:r>
      <w:r>
        <w:rPr>
          <w:rFonts w:ascii="Times New Roman" w:hAnsi="Times New Roman"/>
          <w:lang w:eastAsia="en-GB"/>
        </w:rPr>
        <w:t xml:space="preserve">, że </w:t>
      </w:r>
      <w:r w:rsidR="00192AD5">
        <w:rPr>
          <w:rFonts w:ascii="Times New Roman" w:hAnsi="Times New Roman"/>
          <w:lang w:eastAsia="en-GB"/>
        </w:rPr>
        <w:t>uzyskanie tego pozwolenia nakłada na jego posiadacza obowiązki wynikające z unijnego kodeksu celnego, w tym między innymi</w:t>
      </w:r>
      <w:r w:rsidR="000B46AD">
        <w:rPr>
          <w:rFonts w:ascii="Times New Roman" w:hAnsi="Times New Roman"/>
          <w:lang w:eastAsia="en-GB"/>
        </w:rPr>
        <w:t xml:space="preserve">, wynikający z art. 211 ust. 3 lit. c </w:t>
      </w:r>
      <w:proofErr w:type="spellStart"/>
      <w:r w:rsidR="000B46AD">
        <w:rPr>
          <w:rFonts w:ascii="Times New Roman" w:hAnsi="Times New Roman"/>
          <w:lang w:eastAsia="en-GB"/>
        </w:rPr>
        <w:t>ukc</w:t>
      </w:r>
      <w:proofErr w:type="spellEnd"/>
      <w:r w:rsidR="000B46AD">
        <w:rPr>
          <w:rFonts w:ascii="Times New Roman" w:hAnsi="Times New Roman"/>
          <w:lang w:eastAsia="en-GB"/>
        </w:rPr>
        <w:t xml:space="preserve">, </w:t>
      </w:r>
      <w:r w:rsidR="00192AD5">
        <w:rPr>
          <w:rFonts w:ascii="Times New Roman" w:hAnsi="Times New Roman"/>
          <w:lang w:eastAsia="en-GB"/>
        </w:rPr>
        <w:t xml:space="preserve"> obowiązek złożenia zabezpieczenia obejmującego długi celne mogące powstać w stosunku do wszystkich towarów znajdujących się w przedmiotowym składzie celnym.</w:t>
      </w:r>
      <w:r w:rsidR="000B46AD">
        <w:rPr>
          <w:rFonts w:ascii="Times New Roman" w:hAnsi="Times New Roman"/>
          <w:lang w:eastAsia="en-GB"/>
        </w:rPr>
        <w:t xml:space="preserve"> Osoba składająca zabezpieczenie zobowiązana jest przy tym, na podstawie art. 156 rozporządzenia wykonawczego do </w:t>
      </w:r>
      <w:proofErr w:type="spellStart"/>
      <w:r w:rsidR="000B46AD">
        <w:rPr>
          <w:rFonts w:ascii="Times New Roman" w:hAnsi="Times New Roman"/>
          <w:lang w:eastAsia="en-GB"/>
        </w:rPr>
        <w:t>ukc</w:t>
      </w:r>
      <w:proofErr w:type="spellEnd"/>
      <w:r w:rsidR="000B46AD">
        <w:rPr>
          <w:rFonts w:ascii="Times New Roman" w:hAnsi="Times New Roman"/>
          <w:lang w:eastAsia="en-GB"/>
        </w:rPr>
        <w:t>, do monitorowania wykorzystania kwoty referencyjnej zabezpieczenia w taki sposób, aby w żadnym czasie nie doszło do przekroczenia tej kwoty w wyniku obejmowania towarów kolejnymi operacjami celnymi.</w:t>
      </w:r>
      <w:r w:rsidR="007E7F5E">
        <w:rPr>
          <w:rFonts w:ascii="Times New Roman" w:hAnsi="Times New Roman"/>
          <w:lang w:eastAsia="en-GB"/>
        </w:rPr>
        <w:t xml:space="preserve"> </w:t>
      </w:r>
    </w:p>
    <w:p w:rsidR="00070689" w:rsidRDefault="00261241" w:rsidP="00261241">
      <w:pPr>
        <w:spacing w:before="120" w:after="120"/>
        <w:ind w:firstLine="720"/>
        <w:jc w:val="both"/>
        <w:rPr>
          <w:rFonts w:ascii="Times New Roman" w:hAnsi="Times New Roman"/>
          <w:color w:val="000000"/>
          <w:lang w:eastAsia="en-GB"/>
        </w:rPr>
      </w:pPr>
      <w:r>
        <w:rPr>
          <w:rFonts w:ascii="Times New Roman" w:hAnsi="Times New Roman"/>
          <w:lang w:eastAsia="en-GB"/>
        </w:rPr>
        <w:t xml:space="preserve">W celu umożliwienia </w:t>
      </w:r>
      <w:r w:rsidR="00F176F5">
        <w:rPr>
          <w:rFonts w:ascii="Times New Roman" w:hAnsi="Times New Roman"/>
          <w:lang w:eastAsia="en-GB"/>
        </w:rPr>
        <w:t xml:space="preserve">sprawnego, </w:t>
      </w:r>
      <w:r>
        <w:rPr>
          <w:rFonts w:ascii="Times New Roman" w:hAnsi="Times New Roman"/>
          <w:lang w:eastAsia="en-GB"/>
        </w:rPr>
        <w:t xml:space="preserve">pełnego zastosowania przepisów unijnego kodeksu celnego, jak również służących jego wdrożeniu przepisów prawa unijnego i krajowego, do wszystkich towarów </w:t>
      </w:r>
      <w:r>
        <w:rPr>
          <w:rFonts w:ascii="Times New Roman" w:hAnsi="Times New Roman"/>
          <w:color w:val="000000"/>
          <w:lang w:eastAsia="en-GB"/>
        </w:rPr>
        <w:t>przebywających w składzie celnym w pierwszym dniu ważności nowego pozwolenia na jego prowadzenie, wydanego w następstwie ponownej oceny</w:t>
      </w:r>
      <w:r w:rsidR="00070689">
        <w:rPr>
          <w:rFonts w:ascii="Times New Roman" w:hAnsi="Times New Roman"/>
          <w:color w:val="000000"/>
          <w:lang w:eastAsia="en-GB"/>
        </w:rPr>
        <w:t xml:space="preserve"> </w:t>
      </w:r>
      <w:r w:rsidR="00070689" w:rsidRPr="00070689">
        <w:rPr>
          <w:rFonts w:ascii="Times New Roman" w:hAnsi="Times New Roman"/>
          <w:color w:val="000000"/>
          <w:lang w:eastAsia="en-GB"/>
        </w:rPr>
        <w:t>należy przyjąć tryb postępowania przedstawiony poniżej.</w:t>
      </w:r>
    </w:p>
    <w:p w:rsidR="00261241" w:rsidRDefault="00070689" w:rsidP="00261241">
      <w:pPr>
        <w:spacing w:before="120" w:after="120"/>
        <w:ind w:firstLine="720"/>
        <w:jc w:val="both"/>
        <w:rPr>
          <w:rFonts w:ascii="Times New Roman" w:hAnsi="Times New Roman"/>
          <w:color w:val="000000"/>
          <w:lang w:eastAsia="en-GB"/>
        </w:rPr>
      </w:pPr>
      <w:r>
        <w:rPr>
          <w:rFonts w:ascii="Times New Roman" w:hAnsi="Times New Roman"/>
          <w:color w:val="000000"/>
          <w:lang w:eastAsia="en-GB"/>
        </w:rPr>
        <w:t>P</w:t>
      </w:r>
      <w:r w:rsidR="00DD43B0">
        <w:rPr>
          <w:rFonts w:ascii="Times New Roman" w:hAnsi="Times New Roman"/>
          <w:color w:val="000000"/>
          <w:lang w:eastAsia="en-GB"/>
        </w:rPr>
        <w:t>osiadacz pozwolenia</w:t>
      </w:r>
      <w:r w:rsidR="00261241">
        <w:rPr>
          <w:rFonts w:ascii="Times New Roman" w:hAnsi="Times New Roman"/>
          <w:color w:val="000000"/>
          <w:lang w:eastAsia="en-GB"/>
        </w:rPr>
        <w:t>, w ramach czynności powiązanych z ponowną oceną pozwolenia na prowadzenie składu celnego, powinien sporządz</w:t>
      </w:r>
      <w:r w:rsidR="00DD43B0">
        <w:rPr>
          <w:rFonts w:ascii="Times New Roman" w:hAnsi="Times New Roman"/>
          <w:color w:val="000000"/>
          <w:lang w:eastAsia="en-GB"/>
        </w:rPr>
        <w:t>ić</w:t>
      </w:r>
      <w:r w:rsidR="00261241">
        <w:rPr>
          <w:rFonts w:ascii="Times New Roman" w:hAnsi="Times New Roman"/>
          <w:color w:val="000000"/>
          <w:lang w:eastAsia="en-GB"/>
        </w:rPr>
        <w:t xml:space="preserve"> bilans towarów objętych procedurą składowania celnego. Bilans powinien zostać sporządzony według stanu towarów („stanów magazynowych”) na dzień wydania nowego pozwolenia na prowadzenie składu celnego. Bilans ten powinien podlegać wpisaniu (odpowiedniemu oznaczeniu pozycji towarowych/wygenerowaniu raportu) w ewidencji prowadzonej przez zobowiązaną do tego osobę. Wybór formy sporządzenia bilansu towarów przez tę osobę powinien nastąpić w uzgodnieniu z organem celnym dokonującym ponownej oceny pozwolenia. Stan towarów wykazanych w bilansie może podlegać kontroli organu celnego i weryfikacji bilansu na podstawie dokumentów celnych </w:t>
      </w:r>
      <w:r w:rsidR="007E45B7">
        <w:rPr>
          <w:rFonts w:ascii="Times New Roman" w:hAnsi="Times New Roman"/>
          <w:color w:val="000000"/>
          <w:lang w:eastAsia="en-GB"/>
        </w:rPr>
        <w:t xml:space="preserve">będących </w:t>
      </w:r>
      <w:r w:rsidR="00261241">
        <w:rPr>
          <w:rFonts w:ascii="Times New Roman" w:hAnsi="Times New Roman"/>
          <w:color w:val="000000"/>
          <w:lang w:eastAsia="en-GB"/>
        </w:rPr>
        <w:t>w posiadaniu organu.</w:t>
      </w:r>
    </w:p>
    <w:p w:rsidR="00261241" w:rsidRDefault="00261241" w:rsidP="00261241">
      <w:pPr>
        <w:spacing w:before="120" w:after="120"/>
        <w:ind w:firstLine="720"/>
        <w:jc w:val="both"/>
        <w:rPr>
          <w:rFonts w:ascii="Times New Roman" w:hAnsi="Times New Roman"/>
          <w:color w:val="000000"/>
          <w:lang w:eastAsia="en-GB"/>
        </w:rPr>
      </w:pPr>
      <w:r>
        <w:rPr>
          <w:rFonts w:ascii="Times New Roman" w:hAnsi="Times New Roman"/>
          <w:color w:val="000000"/>
          <w:lang w:eastAsia="en-GB"/>
        </w:rPr>
        <w:t xml:space="preserve">Kwoty długów celnych mogących powstać w stosunku do towarów, których stan został wykazany w bilansie, stanowić będą podstawę dla określenia początkowego salda wymaganego zabezpieczenia. Kwoty tych długów powinny zostać oszacowane według stanu towarów i elementów kalkulacyjnych aktualnych na dzień wydania nowego pozwolenia na prowadzenie składu celnego po zakończeniu procesu ponownej oceny. </w:t>
      </w:r>
    </w:p>
    <w:p w:rsidR="00261241" w:rsidRDefault="00261241" w:rsidP="00261241">
      <w:pPr>
        <w:autoSpaceDE w:val="0"/>
        <w:autoSpaceDN w:val="0"/>
        <w:adjustRightInd w:val="0"/>
        <w:spacing w:before="120" w:after="120"/>
        <w:ind w:firstLine="720"/>
        <w:jc w:val="both"/>
        <w:rPr>
          <w:rFonts w:ascii="Times New Roman" w:hAnsi="Times New Roman"/>
          <w:color w:val="000000"/>
          <w:lang w:eastAsia="en-GB"/>
        </w:rPr>
      </w:pPr>
      <w:r>
        <w:rPr>
          <w:rFonts w:ascii="Times New Roman" w:hAnsi="Times New Roman"/>
          <w:color w:val="000000"/>
          <w:lang w:eastAsia="en-GB"/>
        </w:rPr>
        <w:t>W związku z powyższym, ewidencja prowadzona przez posiadacza pozwolenia na złożenie zabezpieczenia generalnego, na podstawie którego zostanie złożone zabezpieczenie pokrywające długi celne mogące powstać w tym składzie celnym, powinna zostać odpowiednio uzupełniona o rubrykę zawierającą saldo początkowe, z uwagi na fakt, iż w tym przypadku nie będzie ono równe kwocie referencyjnej. Saldo to bowiem będzie uwzględniać obciążenia kwotami długów celnych mogących powstać w stosunku do towarów przebywających w składzie w pierwszym dniu ważności nowego pozwolenia na prowadzenie składu celnego.</w:t>
      </w:r>
    </w:p>
    <w:p w:rsidR="00261241" w:rsidRDefault="00261241" w:rsidP="00261241">
      <w:pPr>
        <w:autoSpaceDE w:val="0"/>
        <w:autoSpaceDN w:val="0"/>
        <w:adjustRightInd w:val="0"/>
        <w:spacing w:before="120" w:after="120"/>
        <w:ind w:firstLine="720"/>
        <w:jc w:val="both"/>
        <w:rPr>
          <w:rFonts w:ascii="Times New Roman" w:hAnsi="Times New Roman"/>
        </w:rPr>
      </w:pPr>
      <w:r>
        <w:rPr>
          <w:rFonts w:ascii="Times New Roman" w:hAnsi="Times New Roman"/>
        </w:rPr>
        <w:t>W przypadku, gdy w stosunku do ww. towarów zostało złożone uprzednio zabezpieczenie na zasadach wynikających z</w:t>
      </w:r>
      <w:r w:rsidR="00DD43B0">
        <w:rPr>
          <w:rFonts w:ascii="Times New Roman" w:hAnsi="Times New Roman"/>
        </w:rPr>
        <w:t>e</w:t>
      </w:r>
      <w:r>
        <w:rPr>
          <w:rFonts w:ascii="Times New Roman" w:hAnsi="Times New Roman"/>
        </w:rPr>
        <w:t xml:space="preserve"> W</w:t>
      </w:r>
      <w:r w:rsidR="00DD43B0">
        <w:rPr>
          <w:rFonts w:ascii="Times New Roman" w:hAnsi="Times New Roman"/>
        </w:rPr>
        <w:t xml:space="preserve">spólnotowego </w:t>
      </w:r>
      <w:r>
        <w:rPr>
          <w:rFonts w:ascii="Times New Roman" w:hAnsi="Times New Roman"/>
        </w:rPr>
        <w:t>K</w:t>
      </w:r>
      <w:r w:rsidR="00DD43B0">
        <w:rPr>
          <w:rFonts w:ascii="Times New Roman" w:hAnsi="Times New Roman"/>
        </w:rPr>
        <w:t xml:space="preserve">odeksu </w:t>
      </w:r>
      <w:r>
        <w:rPr>
          <w:rFonts w:ascii="Times New Roman" w:hAnsi="Times New Roman"/>
        </w:rPr>
        <w:t>C</w:t>
      </w:r>
      <w:r w:rsidR="00DD43B0">
        <w:rPr>
          <w:rFonts w:ascii="Times New Roman" w:hAnsi="Times New Roman"/>
        </w:rPr>
        <w:t>elnego</w:t>
      </w:r>
      <w:r>
        <w:rPr>
          <w:rFonts w:ascii="Times New Roman" w:hAnsi="Times New Roman"/>
        </w:rPr>
        <w:t xml:space="preserve">, koniecznym jest całkowite rozliczenie tego zabezpieczenia w systemie </w:t>
      </w:r>
      <w:r w:rsidR="00DD43B0">
        <w:rPr>
          <w:rFonts w:ascii="Times New Roman" w:hAnsi="Times New Roman"/>
        </w:rPr>
        <w:t>obsługi zabezpieczeń (</w:t>
      </w:r>
      <w:r>
        <w:rPr>
          <w:rFonts w:ascii="Times New Roman" w:hAnsi="Times New Roman"/>
        </w:rPr>
        <w:t>OSOZ 2</w:t>
      </w:r>
      <w:r w:rsidR="00DD43B0">
        <w:rPr>
          <w:rFonts w:ascii="Times New Roman" w:hAnsi="Times New Roman"/>
        </w:rPr>
        <w:t>)</w:t>
      </w:r>
      <w:r>
        <w:rPr>
          <w:rFonts w:ascii="Times New Roman" w:hAnsi="Times New Roman"/>
        </w:rPr>
        <w:t xml:space="preserve"> w </w:t>
      </w:r>
      <w:r>
        <w:rPr>
          <w:rFonts w:ascii="Times New Roman" w:hAnsi="Times New Roman"/>
        </w:rPr>
        <w:lastRenderedPageBreak/>
        <w:t>c</w:t>
      </w:r>
      <w:r w:rsidR="00DD43B0">
        <w:rPr>
          <w:rFonts w:ascii="Times New Roman" w:hAnsi="Times New Roman"/>
        </w:rPr>
        <w:t>elu jego zwolnienia. Zwolnienie</w:t>
      </w:r>
      <w:r>
        <w:rPr>
          <w:rFonts w:ascii="Times New Roman" w:hAnsi="Times New Roman"/>
        </w:rPr>
        <w:t xml:space="preserve"> to zostanie </w:t>
      </w:r>
      <w:r w:rsidR="00DD43B0">
        <w:rPr>
          <w:rFonts w:ascii="Times New Roman" w:hAnsi="Times New Roman"/>
        </w:rPr>
        <w:t xml:space="preserve">jednak </w:t>
      </w:r>
      <w:r>
        <w:rPr>
          <w:rFonts w:ascii="Times New Roman" w:hAnsi="Times New Roman"/>
        </w:rPr>
        <w:t xml:space="preserve">dokonane </w:t>
      </w:r>
      <w:r w:rsidR="00DD43B0">
        <w:rPr>
          <w:rFonts w:ascii="Times New Roman" w:hAnsi="Times New Roman"/>
        </w:rPr>
        <w:t xml:space="preserve">dopiero </w:t>
      </w:r>
      <w:r>
        <w:rPr>
          <w:rFonts w:ascii="Times New Roman" w:hAnsi="Times New Roman"/>
        </w:rPr>
        <w:t>po upewnieniu się</w:t>
      </w:r>
      <w:r w:rsidR="00DD43B0">
        <w:rPr>
          <w:rFonts w:ascii="Times New Roman" w:hAnsi="Times New Roman"/>
        </w:rPr>
        <w:t xml:space="preserve"> przez organ celny</w:t>
      </w:r>
      <w:r>
        <w:rPr>
          <w:rFonts w:ascii="Times New Roman" w:hAnsi="Times New Roman"/>
        </w:rPr>
        <w:t>, że:</w:t>
      </w:r>
    </w:p>
    <w:p w:rsidR="00261241" w:rsidRDefault="00261241" w:rsidP="00261241">
      <w:pPr>
        <w:pStyle w:val="Akapitzlist"/>
        <w:numPr>
          <w:ilvl w:val="0"/>
          <w:numId w:val="1"/>
        </w:numPr>
        <w:autoSpaceDE w:val="0"/>
        <w:autoSpaceDN w:val="0"/>
        <w:adjustRightInd w:val="0"/>
        <w:spacing w:before="120" w:after="120"/>
        <w:jc w:val="both"/>
        <w:rPr>
          <w:rFonts w:ascii="Times New Roman" w:hAnsi="Times New Roman"/>
          <w:color w:val="000000"/>
          <w:lang w:eastAsia="en-GB"/>
        </w:rPr>
      </w:pPr>
      <w:r>
        <w:rPr>
          <w:rFonts w:ascii="Times New Roman" w:hAnsi="Times New Roman"/>
        </w:rPr>
        <w:t xml:space="preserve">kwoty aktywnych zobowiązań w ramach tego zabezpieczenia zostały wykazane jako odpowiednie obciążenia w początkowym saldzie </w:t>
      </w:r>
      <w:r>
        <w:rPr>
          <w:rFonts w:ascii="Times New Roman" w:hAnsi="Times New Roman"/>
          <w:color w:val="000000"/>
          <w:lang w:eastAsia="en-GB"/>
        </w:rPr>
        <w:t>ewidencji prowadzonej przez posiadacza pozwolenia na złożenie zabezpieczenia generalnego, na podstawie którego zostało złożone zabezpieczenie pokrywające długi celne mogące powstać w tym składzie celnym oraz</w:t>
      </w:r>
    </w:p>
    <w:p w:rsidR="00261241" w:rsidRDefault="00261241" w:rsidP="00261241">
      <w:pPr>
        <w:pStyle w:val="Akapitzlist"/>
        <w:numPr>
          <w:ilvl w:val="0"/>
          <w:numId w:val="1"/>
        </w:numPr>
        <w:autoSpaceDE w:val="0"/>
        <w:autoSpaceDN w:val="0"/>
        <w:adjustRightInd w:val="0"/>
        <w:spacing w:before="120" w:after="120"/>
        <w:jc w:val="both"/>
        <w:rPr>
          <w:rFonts w:ascii="Times New Roman" w:hAnsi="Times New Roman"/>
          <w:lang w:eastAsia="en-GB"/>
        </w:rPr>
      </w:pPr>
      <w:r>
        <w:rPr>
          <w:rFonts w:ascii="Times New Roman" w:hAnsi="Times New Roman"/>
          <w:lang w:eastAsia="en-GB"/>
        </w:rPr>
        <w:t>do momentu zwolnienia zabezpieczenia nie powstał dług celny w stosunku do towarów, których dotyczą te aktywne zobowiązania.</w:t>
      </w:r>
    </w:p>
    <w:p w:rsidR="00261241" w:rsidRDefault="00261241" w:rsidP="00261241">
      <w:pPr>
        <w:autoSpaceDE w:val="0"/>
        <w:autoSpaceDN w:val="0"/>
        <w:adjustRightInd w:val="0"/>
        <w:spacing w:before="120" w:after="120"/>
        <w:ind w:firstLine="720"/>
        <w:jc w:val="both"/>
        <w:rPr>
          <w:rFonts w:ascii="Times New Roman" w:hAnsi="Times New Roman"/>
          <w:lang w:eastAsia="en-GB"/>
        </w:rPr>
      </w:pPr>
      <w:r>
        <w:rPr>
          <w:rFonts w:ascii="Times New Roman" w:hAnsi="Times New Roman"/>
          <w:lang w:eastAsia="en-GB"/>
        </w:rPr>
        <w:t xml:space="preserve">W sytuacji, gdy zabezpieczenie </w:t>
      </w:r>
      <w:r>
        <w:rPr>
          <w:rFonts w:ascii="Times New Roman" w:hAnsi="Times New Roman"/>
          <w:color w:val="000000"/>
          <w:lang w:eastAsia="en-GB"/>
        </w:rPr>
        <w:t>pokrywające długi celne mogące powstać w składzie celnym</w:t>
      </w:r>
      <w:r>
        <w:rPr>
          <w:rFonts w:ascii="Times New Roman" w:hAnsi="Times New Roman"/>
          <w:lang w:eastAsia="en-GB"/>
        </w:rPr>
        <w:t xml:space="preserve"> po ponownej ocenie pozwolenia na jego prowadzenie ma być złożone w formie zobowiązania gwaranta, treść tego zobowiązania powinna zawierać klauzulę, zgodnie z którą zobowiązanie to będzie wiążące również w stosunku do operacji celnych rozpoczętych przed dniem uznania tego zobowiązania, ale obejmować będzie ono wyłącznie długi celne powstałe po jego uznaniu. Wymaga to dokonania odpowiedniej modyfikacji pkt 12 zobowiązania gwaranta, jeśli złożone zostanie ono według wzoru określonego w rozporządzeniu Ministra Rozwoju i Finansów z dnia 1 lutego 2017 r. w sprawie formy zobowiązania gwaranta stanowiącego zabezpieczenie generalne w operacjach celnych, innych niż procedura tranzytowa, dokonywanych na terytorium Rzeczypospolitej Polskiej (Dz. U. z 2014 r., poz. 214).</w:t>
      </w:r>
      <w:r w:rsidR="00B7315F">
        <w:rPr>
          <w:rFonts w:ascii="Times New Roman" w:hAnsi="Times New Roman"/>
          <w:lang w:eastAsia="en-GB"/>
        </w:rPr>
        <w:t xml:space="preserve"> </w:t>
      </w:r>
    </w:p>
    <w:p w:rsidR="00261241" w:rsidRDefault="00261241" w:rsidP="00261241">
      <w:pPr>
        <w:autoSpaceDE w:val="0"/>
        <w:autoSpaceDN w:val="0"/>
        <w:adjustRightInd w:val="0"/>
        <w:spacing w:before="120" w:after="120"/>
        <w:ind w:firstLine="720"/>
        <w:jc w:val="both"/>
        <w:rPr>
          <w:rFonts w:ascii="Times New Roman" w:hAnsi="Times New Roman"/>
          <w:lang w:eastAsia="en-GB"/>
        </w:rPr>
      </w:pPr>
    </w:p>
    <w:p w:rsidR="00A06CEC" w:rsidRDefault="00A06CEC"/>
    <w:sectPr w:rsidR="00A06C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4C40ABB"/>
    <w:multiLevelType w:val="hybridMultilevel"/>
    <w:tmpl w:val="EA5E9DC0"/>
    <w:lvl w:ilvl="0" w:tplc="2D80DE26">
      <w:start w:val="1"/>
      <w:numFmt w:val="decimal"/>
      <w:lvlText w:val="%1."/>
      <w:lvlJc w:val="left"/>
      <w:pPr>
        <w:ind w:left="1080" w:hanging="360"/>
      </w:pPr>
      <w:rPr>
        <w:color w:val="auto"/>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241"/>
    <w:rsid w:val="00070689"/>
    <w:rsid w:val="00096EDA"/>
    <w:rsid w:val="000B46AD"/>
    <w:rsid w:val="00192AD5"/>
    <w:rsid w:val="00261241"/>
    <w:rsid w:val="004A1AA3"/>
    <w:rsid w:val="006D57F1"/>
    <w:rsid w:val="00735C3F"/>
    <w:rsid w:val="00743C07"/>
    <w:rsid w:val="007E45B7"/>
    <w:rsid w:val="007E7F5E"/>
    <w:rsid w:val="008C3CE0"/>
    <w:rsid w:val="009E2D2D"/>
    <w:rsid w:val="009F6FBA"/>
    <w:rsid w:val="00A06CEC"/>
    <w:rsid w:val="00A1306D"/>
    <w:rsid w:val="00AE33D4"/>
    <w:rsid w:val="00B7315F"/>
    <w:rsid w:val="00B91E15"/>
    <w:rsid w:val="00BE6121"/>
    <w:rsid w:val="00C42745"/>
    <w:rsid w:val="00DD43B0"/>
    <w:rsid w:val="00E302F4"/>
    <w:rsid w:val="00F176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ECDE5A-03E1-4267-8219-EB82CF03C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61241"/>
    <w:pPr>
      <w:spacing w:after="0" w:line="240" w:lineRule="auto"/>
    </w:pPr>
    <w:rPr>
      <w:rFonts w:ascii="Cambria" w:eastAsia="Cambria" w:hAnsi="Cambria"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72"/>
    <w:qFormat/>
    <w:rsid w:val="002612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887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718</Words>
  <Characters>4314</Characters>
  <Application>Microsoft Office Word</Application>
  <DocSecurity>0</DocSecurity>
  <Lines>35</Lines>
  <Paragraphs>10</Paragraphs>
  <ScaleCrop>false</ScaleCrop>
  <HeadingPairs>
    <vt:vector size="2" baseType="variant">
      <vt:variant>
        <vt:lpstr>Tytuł</vt:lpstr>
      </vt:variant>
      <vt:variant>
        <vt:i4>1</vt:i4>
      </vt:variant>
    </vt:vector>
  </HeadingPairs>
  <TitlesOfParts>
    <vt:vector size="1" baseType="lpstr">
      <vt:lpstr/>
    </vt:vector>
  </TitlesOfParts>
  <Company>Ministerstwo Finansów</Company>
  <LinksUpToDate>false</LinksUpToDate>
  <CharactersWithSpaces>5022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Bieżuńska Ewa</dc:creator>
  <cp:keywords/>
  <dc:description/>
  <cp:lastModifiedBy>Bieżuńska Ewa</cp:lastModifiedBy>
  <cp:revision>2</cp:revision>
  <dcterms:created xsi:type="dcterms:W3CDTF">2018-09-07T12:22:00Z</dcterms:created>
  <dcterms:modified xsi:type="dcterms:W3CDTF">2018-09-07T12:22:00Z</dcterms:modified>
</cp:coreProperties>
</file>