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C372C" w:rsidRPr="00590107" w:rsidTr="00C246A7">
        <w:tc>
          <w:tcPr>
            <w:tcW w:w="9322" w:type="dxa"/>
            <w:shd w:val="clear" w:color="auto" w:fill="9BBB59" w:themeFill="accent3"/>
          </w:tcPr>
          <w:p w:rsidR="00DC372C" w:rsidRPr="00047C3D" w:rsidRDefault="00DC372C" w:rsidP="00DC37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047C3D">
              <w:rPr>
                <w:rFonts w:ascii="Arial" w:hAnsi="Arial" w:cs="Arial"/>
                <w:b/>
                <w:sz w:val="28"/>
                <w:szCs w:val="28"/>
              </w:rPr>
              <w:t>Unijny Kodeks Celny</w:t>
            </w:r>
          </w:p>
        </w:tc>
      </w:tr>
      <w:tr w:rsidR="00DC372C" w:rsidRPr="00590107" w:rsidTr="00C246A7">
        <w:tc>
          <w:tcPr>
            <w:tcW w:w="9322" w:type="dxa"/>
            <w:vAlign w:val="center"/>
          </w:tcPr>
          <w:p w:rsidR="00DC372C" w:rsidRPr="00590107" w:rsidRDefault="00590107" w:rsidP="00F90E67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047C3D">
              <w:rPr>
                <w:rFonts w:ascii="Arial" w:hAnsi="Arial" w:cs="Arial"/>
                <w:b/>
                <w:sz w:val="20"/>
                <w:szCs w:val="20"/>
              </w:rPr>
              <w:t>Zagadnienie z zakresu</w:t>
            </w:r>
            <w:r w:rsidR="00DC372C" w:rsidRPr="00047C3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C372C" w:rsidRPr="00590107">
              <w:rPr>
                <w:rFonts w:ascii="Arial" w:hAnsi="Arial" w:cs="Arial"/>
                <w:b/>
              </w:rPr>
              <w:t xml:space="preserve"> </w:t>
            </w:r>
            <w:r w:rsidR="00047C3D">
              <w:rPr>
                <w:rFonts w:ascii="Arial" w:hAnsi="Arial" w:cs="Arial"/>
                <w:b/>
              </w:rPr>
              <w:t xml:space="preserve">     </w:t>
            </w:r>
            <w:r w:rsidR="00DC372C" w:rsidRPr="00590107">
              <w:rPr>
                <w:rFonts w:ascii="Arial" w:hAnsi="Arial" w:cs="Arial"/>
                <w:b/>
              </w:rPr>
              <w:t xml:space="preserve">ZABEZPIECZENIE DŁUGU CELNEGO </w:t>
            </w:r>
          </w:p>
          <w:p w:rsidR="00DC372C" w:rsidRPr="00590107" w:rsidRDefault="00DC372C" w:rsidP="00F90E67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  <w:tr w:rsidR="00C42EE1" w:rsidRPr="00590107" w:rsidTr="00C246A7">
        <w:trPr>
          <w:trHeight w:val="2170"/>
        </w:trPr>
        <w:tc>
          <w:tcPr>
            <w:tcW w:w="9322" w:type="dxa"/>
            <w:vAlign w:val="center"/>
          </w:tcPr>
          <w:p w:rsidR="003855A6" w:rsidRPr="00047C3D" w:rsidRDefault="003855A6" w:rsidP="00047C3D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47C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Podstawy prawne:</w:t>
            </w:r>
          </w:p>
          <w:p w:rsidR="003855A6" w:rsidRPr="00047C3D" w:rsidRDefault="003855A6" w:rsidP="003855A6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7C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Art. 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89–100 </w:t>
            </w:r>
            <w:hyperlink r:id="rId6" w:history="1">
              <w:r w:rsidRPr="006E4ACA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UKC</w:t>
              </w:r>
            </w:hyperlink>
          </w:p>
          <w:p w:rsidR="003855A6" w:rsidRPr="00047C3D" w:rsidRDefault="003855A6" w:rsidP="003855A6">
            <w:pPr>
              <w:spacing w:before="12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47C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Art. </w:t>
            </w:r>
            <w:r w:rsidRPr="00047C3D">
              <w:rPr>
                <w:rFonts w:ascii="Arial" w:hAnsi="Arial" w:cs="Arial"/>
                <w:sz w:val="20"/>
                <w:szCs w:val="20"/>
              </w:rPr>
              <w:t>81–8</w:t>
            </w:r>
            <w:r w:rsidR="00735940" w:rsidRPr="00047C3D">
              <w:rPr>
                <w:rFonts w:ascii="Arial" w:hAnsi="Arial" w:cs="Arial"/>
                <w:sz w:val="20"/>
                <w:szCs w:val="20"/>
              </w:rPr>
              <w:t>6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i 250 </w:t>
            </w:r>
            <w:hyperlink r:id="rId7" w:history="1">
              <w:r w:rsidRPr="007E4AD9">
                <w:rPr>
                  <w:rStyle w:val="Hipercze"/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rozporządzenia delegowanego</w:t>
              </w:r>
            </w:hyperlink>
          </w:p>
          <w:p w:rsidR="003855A6" w:rsidRPr="00047C3D" w:rsidRDefault="003855A6" w:rsidP="003855A6">
            <w:pPr>
              <w:spacing w:before="12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47C3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7B69FD" w:rsidRPr="00047C3D">
              <w:rPr>
                <w:rFonts w:ascii="Arial" w:hAnsi="Arial" w:cs="Arial"/>
                <w:sz w:val="20"/>
                <w:szCs w:val="20"/>
              </w:rPr>
              <w:t>147-164, 345 i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346 </w:t>
            </w:r>
            <w:hyperlink r:id="rId8" w:history="1">
              <w:r w:rsidRPr="00192397">
                <w:rPr>
                  <w:rStyle w:val="Hipercze"/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rozporządzenia wykonawczego</w:t>
              </w:r>
            </w:hyperlink>
          </w:p>
          <w:p w:rsidR="003855A6" w:rsidRPr="00047C3D" w:rsidRDefault="003855A6">
            <w:pPr>
              <w:spacing w:before="12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Załącznik</w:t>
            </w:r>
            <w:r w:rsidR="007B69FD" w:rsidRPr="00047C3D">
              <w:rPr>
                <w:rFonts w:ascii="Arial" w:hAnsi="Arial" w:cs="Arial"/>
                <w:sz w:val="20"/>
                <w:szCs w:val="20"/>
              </w:rPr>
              <w:t>i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nr </w:t>
            </w:r>
            <w:r w:rsidR="007B69FD" w:rsidRPr="00047C3D">
              <w:rPr>
                <w:rFonts w:ascii="Arial" w:hAnsi="Arial" w:cs="Arial"/>
                <w:sz w:val="20"/>
                <w:szCs w:val="20"/>
              </w:rPr>
              <w:t xml:space="preserve">32-01, 32-02 i 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32-03 do rozporządzenia </w:t>
            </w:r>
            <w:r w:rsidRPr="00047C3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wykonawczego</w:t>
            </w:r>
          </w:p>
          <w:p w:rsidR="00C42EE1" w:rsidRPr="00047C3D" w:rsidRDefault="00C42EE1" w:rsidP="003855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372C" w:rsidRPr="00590107" w:rsidTr="00C246A7">
        <w:tc>
          <w:tcPr>
            <w:tcW w:w="9322" w:type="dxa"/>
            <w:vAlign w:val="center"/>
          </w:tcPr>
          <w:p w:rsidR="00DC372C" w:rsidRPr="00047C3D" w:rsidRDefault="00DC372C" w:rsidP="00F90E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C3D">
              <w:rPr>
                <w:rFonts w:ascii="Arial" w:hAnsi="Arial" w:cs="Arial"/>
                <w:b/>
                <w:sz w:val="20"/>
                <w:szCs w:val="20"/>
              </w:rPr>
              <w:t>Opis zagadnienia</w:t>
            </w:r>
            <w:r w:rsidR="003855A6" w:rsidRPr="00047C3D">
              <w:rPr>
                <w:rFonts w:ascii="Arial" w:hAnsi="Arial" w:cs="Arial"/>
                <w:b/>
                <w:sz w:val="20"/>
                <w:szCs w:val="20"/>
              </w:rPr>
              <w:t xml:space="preserve"> i najważniejsze zmiany o</w:t>
            </w:r>
            <w:r w:rsidR="007B69FD" w:rsidRPr="00047C3D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3855A6" w:rsidRPr="00047C3D">
              <w:rPr>
                <w:rFonts w:ascii="Arial" w:hAnsi="Arial" w:cs="Arial"/>
                <w:b/>
                <w:sz w:val="20"/>
                <w:szCs w:val="20"/>
              </w:rPr>
              <w:t xml:space="preserve"> 1 maja 2016 r.</w:t>
            </w:r>
            <w:r w:rsidRPr="00047C3D">
              <w:rPr>
                <w:rFonts w:ascii="Arial" w:hAnsi="Arial" w:cs="Arial"/>
                <w:b/>
                <w:sz w:val="20"/>
                <w:szCs w:val="20"/>
              </w:rPr>
              <w:t xml:space="preserve">:   </w:t>
            </w:r>
          </w:p>
          <w:p w:rsidR="00DC372C" w:rsidRPr="00047C3D" w:rsidRDefault="005066A4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 xml:space="preserve">Z dniem 1 maja 2016 r. </w:t>
            </w:r>
            <w:r w:rsidR="00AD0B27" w:rsidRPr="00047C3D">
              <w:rPr>
                <w:rFonts w:ascii="Arial" w:hAnsi="Arial" w:cs="Arial"/>
                <w:sz w:val="20"/>
                <w:szCs w:val="20"/>
              </w:rPr>
              <w:t>uleg</w:t>
            </w:r>
            <w:r w:rsidR="00AD0B27">
              <w:rPr>
                <w:rFonts w:ascii="Arial" w:hAnsi="Arial" w:cs="Arial"/>
                <w:sz w:val="20"/>
                <w:szCs w:val="20"/>
              </w:rPr>
              <w:t>ły</w:t>
            </w:r>
            <w:r w:rsidR="00AD0B27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istotnej </w:t>
            </w:r>
            <w:r w:rsidR="00DC372C" w:rsidRPr="00047C3D">
              <w:rPr>
                <w:rFonts w:ascii="Arial" w:hAnsi="Arial" w:cs="Arial"/>
                <w:sz w:val="20"/>
                <w:szCs w:val="20"/>
              </w:rPr>
              <w:t>zmianie zasady stosowania zabezpieczeń długu celnego, w</w:t>
            </w:r>
            <w:r w:rsidR="005D7F31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72C" w:rsidRPr="00047C3D">
              <w:rPr>
                <w:rFonts w:ascii="Arial" w:hAnsi="Arial" w:cs="Arial"/>
                <w:sz w:val="20"/>
                <w:szCs w:val="20"/>
              </w:rPr>
              <w:t>szczególności zabezpieczeń generalnych</w:t>
            </w:r>
            <w:r w:rsidR="00941D69" w:rsidRPr="00047C3D">
              <w:rPr>
                <w:rFonts w:ascii="Arial" w:hAnsi="Arial" w:cs="Arial"/>
                <w:sz w:val="20"/>
                <w:szCs w:val="20"/>
              </w:rPr>
              <w:t xml:space="preserve">, m.in. objęcie </w:t>
            </w:r>
            <w:r w:rsidR="007B6CD4" w:rsidRPr="00047C3D">
              <w:rPr>
                <w:rFonts w:ascii="Arial" w:hAnsi="Arial" w:cs="Arial"/>
                <w:sz w:val="20"/>
                <w:szCs w:val="20"/>
              </w:rPr>
              <w:t xml:space="preserve">czasowego składowania </w:t>
            </w:r>
            <w:r w:rsidR="00941D69" w:rsidRPr="00047C3D">
              <w:rPr>
                <w:rFonts w:ascii="Arial" w:hAnsi="Arial" w:cs="Arial"/>
                <w:sz w:val="20"/>
                <w:szCs w:val="20"/>
              </w:rPr>
              <w:t xml:space="preserve">obowiązkiem złożenia zabezpieczenia </w:t>
            </w:r>
            <w:r w:rsidR="00AE33AD" w:rsidRPr="00047C3D">
              <w:rPr>
                <w:rFonts w:ascii="Arial" w:hAnsi="Arial" w:cs="Arial"/>
                <w:sz w:val="20"/>
                <w:szCs w:val="20"/>
              </w:rPr>
              <w:t>(złożenie zabezpieczenia jest warunkiem udzielenia pozwolenia na</w:t>
            </w:r>
            <w:r w:rsidR="005D7F31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33AD" w:rsidRPr="00047C3D">
              <w:rPr>
                <w:rFonts w:ascii="Arial" w:hAnsi="Arial" w:cs="Arial"/>
                <w:sz w:val="20"/>
                <w:szCs w:val="20"/>
              </w:rPr>
              <w:t>prowadzenie magazynu czasowego składowania)</w:t>
            </w:r>
            <w:r w:rsidR="00DC372C" w:rsidRPr="00047C3D">
              <w:rPr>
                <w:rFonts w:ascii="Arial" w:hAnsi="Arial" w:cs="Arial"/>
                <w:sz w:val="20"/>
                <w:szCs w:val="20"/>
              </w:rPr>
              <w:t xml:space="preserve">. Nowe zasady stosowania zabezpieczeń, dotyczące wszystkich procedur celnych, 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w których jest ono wymagane, </w:t>
            </w:r>
            <w:r w:rsidR="00DC372C" w:rsidRPr="00047C3D">
              <w:rPr>
                <w:rFonts w:ascii="Arial" w:hAnsi="Arial" w:cs="Arial"/>
                <w:sz w:val="20"/>
                <w:szCs w:val="20"/>
              </w:rPr>
              <w:t>zostały oparte na</w:t>
            </w:r>
            <w:r w:rsidR="005D7F31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72C" w:rsidRPr="00047C3D">
              <w:rPr>
                <w:rFonts w:ascii="Arial" w:hAnsi="Arial" w:cs="Arial"/>
                <w:sz w:val="20"/>
                <w:szCs w:val="20"/>
              </w:rPr>
              <w:t>zasadach stosowanych dotychczas tylko dla zabezpieczeń funkcjonujących w tranzycie, m.in.</w:t>
            </w:r>
            <w:r w:rsidR="005D7F31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72C" w:rsidRPr="00047C3D">
              <w:rPr>
                <w:rFonts w:ascii="Arial" w:hAnsi="Arial" w:cs="Arial"/>
                <w:sz w:val="20"/>
                <w:szCs w:val="20"/>
              </w:rPr>
              <w:t>w</w:t>
            </w:r>
            <w:r w:rsidR="005D7F31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72C" w:rsidRPr="00047C3D">
              <w:rPr>
                <w:rFonts w:ascii="Arial" w:hAnsi="Arial" w:cs="Arial"/>
                <w:sz w:val="20"/>
                <w:szCs w:val="20"/>
              </w:rPr>
              <w:t>zakresie kwoty referencyjnej, złożenia zabezpieczenia w obniżonej wysokości i zwolnienia z</w:t>
            </w:r>
            <w:r w:rsidR="005D7F31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72C" w:rsidRPr="00047C3D">
              <w:rPr>
                <w:rFonts w:ascii="Arial" w:hAnsi="Arial" w:cs="Arial"/>
                <w:sz w:val="20"/>
                <w:szCs w:val="20"/>
              </w:rPr>
              <w:t>obow</w:t>
            </w:r>
            <w:r w:rsidRPr="00047C3D">
              <w:rPr>
                <w:rFonts w:ascii="Arial" w:hAnsi="Arial" w:cs="Arial"/>
                <w:sz w:val="20"/>
                <w:szCs w:val="20"/>
              </w:rPr>
              <w:t>iązku złożenia zabezpieczenia</w:t>
            </w:r>
            <w:r w:rsidR="00667C6B" w:rsidRPr="00047C3D">
              <w:rPr>
                <w:rFonts w:ascii="Arial" w:hAnsi="Arial" w:cs="Arial"/>
                <w:sz w:val="20"/>
                <w:szCs w:val="20"/>
              </w:rPr>
              <w:t>. Uległa również zmianie jedna z form zabezpieczenia</w:t>
            </w:r>
            <w:r w:rsidR="005C3B12" w:rsidRPr="00047C3D">
              <w:rPr>
                <w:rFonts w:ascii="Arial" w:hAnsi="Arial" w:cs="Arial"/>
                <w:sz w:val="20"/>
                <w:szCs w:val="20"/>
              </w:rPr>
              <w:t>.</w:t>
            </w:r>
            <w:r w:rsidR="00667C6B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4A7" w:rsidRPr="00047C3D">
              <w:rPr>
                <w:rFonts w:ascii="Arial" w:hAnsi="Arial" w:cs="Arial"/>
                <w:sz w:val="20"/>
                <w:szCs w:val="20"/>
              </w:rPr>
              <w:t>G</w:t>
            </w:r>
            <w:r w:rsidR="00667C6B" w:rsidRPr="00047C3D">
              <w:rPr>
                <w:rFonts w:ascii="Arial" w:hAnsi="Arial" w:cs="Arial"/>
                <w:sz w:val="20"/>
                <w:szCs w:val="20"/>
              </w:rPr>
              <w:t xml:space="preserve">warancja, o której mowa w art. 193 </w:t>
            </w:r>
            <w:r w:rsidR="007E74A7" w:rsidRPr="00047C3D">
              <w:rPr>
                <w:rFonts w:ascii="Arial" w:hAnsi="Arial" w:cs="Arial"/>
                <w:sz w:val="20"/>
                <w:szCs w:val="20"/>
              </w:rPr>
              <w:t>WKC</w:t>
            </w:r>
            <w:r w:rsidR="008B51EB" w:rsidRPr="00047C3D">
              <w:rPr>
                <w:rFonts w:ascii="Arial" w:hAnsi="Arial" w:cs="Arial"/>
                <w:sz w:val="20"/>
                <w:szCs w:val="20"/>
              </w:rPr>
              <w:t>,</w:t>
            </w:r>
            <w:r w:rsidR="00667C6B" w:rsidRPr="00047C3D">
              <w:rPr>
                <w:rFonts w:ascii="Arial" w:hAnsi="Arial" w:cs="Arial"/>
                <w:sz w:val="20"/>
                <w:szCs w:val="20"/>
              </w:rPr>
              <w:t xml:space="preserve"> została zastąpiona tzw. zobowiązaniem gwaranta</w:t>
            </w:r>
            <w:r w:rsidR="00512E0D" w:rsidRPr="00047C3D">
              <w:rPr>
                <w:rFonts w:ascii="Arial" w:hAnsi="Arial" w:cs="Arial"/>
                <w:sz w:val="20"/>
                <w:szCs w:val="20"/>
              </w:rPr>
              <w:t>, którego treść, zasady funkcjonowania i</w:t>
            </w:r>
            <w:r w:rsidR="00B15A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="00512E0D" w:rsidRPr="00047C3D">
              <w:rPr>
                <w:rFonts w:ascii="Arial" w:hAnsi="Arial" w:cs="Arial"/>
                <w:sz w:val="20"/>
                <w:szCs w:val="20"/>
              </w:rPr>
              <w:t>odpowiedzialności gwaranta są wzorowane na gwarancji generalnej stosowanej w</w:t>
            </w:r>
            <w:r w:rsidR="00B15A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="00512E0D" w:rsidRPr="00047C3D">
              <w:rPr>
                <w:rFonts w:ascii="Arial" w:hAnsi="Arial" w:cs="Arial"/>
                <w:sz w:val="20"/>
                <w:szCs w:val="20"/>
              </w:rPr>
              <w:t>procedurze tranzytu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. Natomiast </w:t>
            </w:r>
            <w:r w:rsidR="00512E0D" w:rsidRPr="00047C3D">
              <w:rPr>
                <w:rFonts w:ascii="Arial" w:hAnsi="Arial" w:cs="Arial"/>
                <w:sz w:val="20"/>
                <w:szCs w:val="20"/>
              </w:rPr>
              <w:t xml:space="preserve">w przypadku zabezpieczeń stosowanych </w:t>
            </w:r>
            <w:r w:rsidRPr="00047C3D">
              <w:rPr>
                <w:rFonts w:ascii="Arial" w:hAnsi="Arial" w:cs="Arial"/>
                <w:sz w:val="20"/>
                <w:szCs w:val="20"/>
              </w:rPr>
              <w:t>w</w:t>
            </w:r>
            <w:r w:rsidR="005D7F31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procedurze tranzytu zmiany </w:t>
            </w:r>
            <w:r w:rsidR="00B15AF5" w:rsidRPr="00047C3D">
              <w:rPr>
                <w:rFonts w:ascii="Arial" w:hAnsi="Arial" w:cs="Arial"/>
                <w:sz w:val="20"/>
                <w:szCs w:val="20"/>
              </w:rPr>
              <w:t>są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niewielkie</w:t>
            </w:r>
            <w:r w:rsidR="00512E0D" w:rsidRPr="00047C3D">
              <w:rPr>
                <w:rFonts w:ascii="Arial" w:hAnsi="Arial" w:cs="Arial"/>
                <w:sz w:val="20"/>
                <w:szCs w:val="20"/>
              </w:rPr>
              <w:t>, zostały one opisane w ramach zagadnienia „</w:t>
            </w:r>
            <w:hyperlink r:id="rId9" w:history="1">
              <w:r w:rsidR="00512E0D" w:rsidRPr="00814012">
                <w:rPr>
                  <w:rStyle w:val="Hipercze"/>
                  <w:rFonts w:ascii="Arial" w:hAnsi="Arial" w:cs="Arial"/>
                  <w:sz w:val="20"/>
                  <w:szCs w:val="20"/>
                </w:rPr>
                <w:t>Tranzyt unijny</w:t>
              </w:r>
              <w:r w:rsidR="005D7F31" w:rsidRPr="00814012">
                <w:rPr>
                  <w:rStyle w:val="Hipercze"/>
                  <w:rFonts w:ascii="Arial" w:hAnsi="Arial" w:cs="Arial"/>
                  <w:sz w:val="20"/>
                  <w:szCs w:val="20"/>
                </w:rPr>
                <w:t xml:space="preserve"> i tranzyt TIR</w:t>
              </w:r>
            </w:hyperlink>
            <w:r w:rsidR="00512E0D" w:rsidRPr="00047C3D">
              <w:rPr>
                <w:rFonts w:ascii="Arial" w:hAnsi="Arial" w:cs="Arial"/>
                <w:sz w:val="20"/>
                <w:szCs w:val="20"/>
              </w:rPr>
              <w:t xml:space="preserve">”. </w:t>
            </w:r>
          </w:p>
          <w:p w:rsidR="00DC372C" w:rsidRPr="00047C3D" w:rsidRDefault="00DC372C" w:rsidP="00BD0E9E">
            <w:pPr>
              <w:spacing w:before="240"/>
              <w:jc w:val="both"/>
              <w:rPr>
                <w:rFonts w:ascii="Arial" w:hAnsi="Arial" w:cs="Arial"/>
                <w:b/>
                <w:u w:val="single"/>
              </w:rPr>
            </w:pPr>
            <w:r w:rsidRPr="00047C3D">
              <w:rPr>
                <w:rFonts w:ascii="Arial" w:hAnsi="Arial" w:cs="Arial"/>
                <w:b/>
                <w:u w:val="single"/>
              </w:rPr>
              <w:t>Zabezpieczenie obowiązkowe i nieobowiązkowe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Zgodnie z przepisami UKC w większości przypadków zabezpieczenia będą miały charakter obowiązkowy. Obowiązek złożenia zabezpieczenia wynika bezpośrednio z przepisów unijnych odnoszących się do</w:t>
            </w:r>
            <w:r w:rsidR="005D7F31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7C3D">
              <w:rPr>
                <w:rFonts w:ascii="Arial" w:hAnsi="Arial" w:cs="Arial"/>
                <w:sz w:val="20"/>
                <w:szCs w:val="20"/>
              </w:rPr>
              <w:t>poszczególnych procedur celnych lub</w:t>
            </w:r>
            <w:r w:rsidR="005D7F31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7C3D">
              <w:rPr>
                <w:rFonts w:ascii="Arial" w:hAnsi="Arial" w:cs="Arial"/>
                <w:sz w:val="20"/>
                <w:szCs w:val="20"/>
              </w:rPr>
              <w:t>regulujących sytuacj</w:t>
            </w:r>
            <w:r w:rsidR="007340F2" w:rsidRPr="00047C3D">
              <w:rPr>
                <w:rFonts w:ascii="Arial" w:hAnsi="Arial" w:cs="Arial"/>
                <w:sz w:val="20"/>
                <w:szCs w:val="20"/>
              </w:rPr>
              <w:t>ę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towaru w inny sposób</w:t>
            </w:r>
            <w:r w:rsidR="00E45486" w:rsidRPr="00047C3D">
              <w:rPr>
                <w:rFonts w:ascii="Arial" w:hAnsi="Arial" w:cs="Arial"/>
                <w:sz w:val="20"/>
                <w:szCs w:val="20"/>
              </w:rPr>
              <w:t xml:space="preserve"> i może stanowić warunek wydania pozwolenia na stosowanie określonej procedury celnej.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87B1F" w:rsidRPr="00047C3D" w:rsidRDefault="00987B1F" w:rsidP="00987B1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Ponadto art. 91 UKC uprawnia organy celne do wymagania złożenia zabezpieczenia w przypadkach, w których złożenie zabezpieczenia nie jest obowiązkowe, jeżeli uznają, że</w:t>
            </w:r>
            <w:r w:rsidR="00B15A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nie jest pewne, czy kwota należności celnych przywozowych lub wywozowych odpowiadająca długowi celnemu oraz inne należności zostaną zapłacone w przewidzianym terminie. </w:t>
            </w:r>
          </w:p>
          <w:p w:rsidR="00DB1A36" w:rsidRPr="00047C3D" w:rsidRDefault="00DB1A36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 xml:space="preserve">W okresie przejściowym po wejściu w życie nowych przepisów unijnych pozwolenia wydane </w:t>
            </w:r>
            <w:r w:rsidR="00AE33AD" w:rsidRPr="00047C3D">
              <w:rPr>
                <w:rFonts w:ascii="Arial" w:hAnsi="Arial" w:cs="Arial"/>
                <w:sz w:val="20"/>
                <w:szCs w:val="20"/>
              </w:rPr>
              <w:t>przez</w:t>
            </w:r>
            <w:r w:rsidR="008B51EB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="00AE33AD" w:rsidRPr="00047C3D">
              <w:rPr>
                <w:rFonts w:ascii="Arial" w:hAnsi="Arial" w:cs="Arial"/>
                <w:sz w:val="20"/>
                <w:szCs w:val="20"/>
              </w:rPr>
              <w:t xml:space="preserve">organy celne 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przed </w:t>
            </w:r>
            <w:r w:rsidR="005C3B12" w:rsidRPr="00047C3D">
              <w:rPr>
                <w:rFonts w:ascii="Arial" w:hAnsi="Arial" w:cs="Arial"/>
                <w:sz w:val="20"/>
                <w:szCs w:val="20"/>
              </w:rPr>
              <w:t xml:space="preserve">dniem 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1 maja 2016 r. zachowają ważność, jednak </w:t>
            </w:r>
            <w:r w:rsidR="00383126" w:rsidRPr="00047C3D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="005D7F31" w:rsidRPr="00047C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3126" w:rsidRPr="00047C3D">
              <w:rPr>
                <w:rFonts w:ascii="Arial" w:hAnsi="Arial" w:cs="Arial"/>
                <w:b/>
                <w:sz w:val="20"/>
                <w:szCs w:val="20"/>
              </w:rPr>
              <w:t>dłużej niż do </w:t>
            </w:r>
            <w:r w:rsidR="00AD0B27">
              <w:rPr>
                <w:rFonts w:ascii="Arial" w:hAnsi="Arial" w:cs="Arial"/>
                <w:b/>
                <w:sz w:val="20"/>
                <w:szCs w:val="20"/>
              </w:rPr>
              <w:t xml:space="preserve">dnia </w:t>
            </w:r>
            <w:r w:rsidR="00383126" w:rsidRPr="00047C3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D0B27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383126" w:rsidRPr="00047C3D">
              <w:rPr>
                <w:rFonts w:ascii="Arial" w:hAnsi="Arial" w:cs="Arial"/>
                <w:b/>
                <w:sz w:val="20"/>
                <w:szCs w:val="20"/>
              </w:rPr>
              <w:t>maja 2019 r. albo do ponownej oceny pozwolenia zgodnie z art. 250 ust. 1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3B12" w:rsidRPr="00047C3D">
              <w:rPr>
                <w:rFonts w:ascii="Arial" w:hAnsi="Arial" w:cs="Arial"/>
                <w:sz w:val="20"/>
                <w:szCs w:val="20"/>
              </w:rPr>
              <w:t>rozporządzenia delegowanego</w:t>
            </w:r>
            <w:r w:rsidRPr="00047C3D">
              <w:rPr>
                <w:rFonts w:ascii="Arial" w:hAnsi="Arial" w:cs="Arial"/>
                <w:sz w:val="20"/>
                <w:szCs w:val="20"/>
              </w:rPr>
              <w:t>. W takim przypadku, jeżeli przepisy celne</w:t>
            </w:r>
            <w:r w:rsidR="007B6CD4" w:rsidRPr="00047C3D">
              <w:rPr>
                <w:rFonts w:ascii="Arial" w:hAnsi="Arial" w:cs="Arial"/>
                <w:sz w:val="20"/>
                <w:szCs w:val="20"/>
              </w:rPr>
              <w:t xml:space="preserve"> obowiązujące do</w:t>
            </w:r>
            <w:r w:rsidR="006D49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="005C3B12" w:rsidRPr="00047C3D">
              <w:rPr>
                <w:rFonts w:ascii="Arial" w:hAnsi="Arial" w:cs="Arial"/>
                <w:sz w:val="20"/>
                <w:szCs w:val="20"/>
              </w:rPr>
              <w:t xml:space="preserve">dnia </w:t>
            </w:r>
            <w:r w:rsidR="007B6CD4" w:rsidRPr="00047C3D">
              <w:rPr>
                <w:rFonts w:ascii="Arial" w:hAnsi="Arial" w:cs="Arial"/>
                <w:sz w:val="20"/>
                <w:szCs w:val="20"/>
              </w:rPr>
              <w:t>30 kwietnia 2016 r.</w:t>
            </w:r>
            <w:r w:rsidRPr="00047C3D">
              <w:rPr>
                <w:rFonts w:ascii="Arial" w:hAnsi="Arial" w:cs="Arial"/>
                <w:sz w:val="20"/>
                <w:szCs w:val="20"/>
              </w:rPr>
              <w:t>, na podstawie których zostało wydane pozwolenie</w:t>
            </w:r>
            <w:r w:rsidR="007B6CD4" w:rsidRPr="00047C3D">
              <w:rPr>
                <w:rFonts w:ascii="Arial" w:hAnsi="Arial" w:cs="Arial"/>
                <w:sz w:val="20"/>
                <w:szCs w:val="20"/>
              </w:rPr>
              <w:t>,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CD4" w:rsidRPr="00047C3D">
              <w:rPr>
                <w:rFonts w:ascii="Arial" w:hAnsi="Arial" w:cs="Arial"/>
                <w:sz w:val="20"/>
                <w:szCs w:val="20"/>
              </w:rPr>
              <w:t>np.</w:t>
            </w:r>
            <w:r w:rsidR="006D49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="007B6CD4" w:rsidRPr="00047C3D">
              <w:rPr>
                <w:rFonts w:ascii="Arial" w:hAnsi="Arial" w:cs="Arial"/>
                <w:sz w:val="20"/>
                <w:szCs w:val="20"/>
              </w:rPr>
              <w:t xml:space="preserve"> na</w:t>
            </w:r>
            <w:r w:rsidR="006D49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Pr="00047C3D">
              <w:rPr>
                <w:rFonts w:ascii="Arial" w:hAnsi="Arial" w:cs="Arial"/>
                <w:sz w:val="20"/>
                <w:szCs w:val="20"/>
              </w:rPr>
              <w:t>stosowanie określonej procedury celnej</w:t>
            </w:r>
            <w:r w:rsidR="007B6CD4" w:rsidRPr="00047C3D">
              <w:rPr>
                <w:rFonts w:ascii="Arial" w:hAnsi="Arial" w:cs="Arial"/>
                <w:sz w:val="20"/>
                <w:szCs w:val="20"/>
              </w:rPr>
              <w:t>,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nie nakładały obowiązku złożenia zabezpieczenia długu celnego, to </w:t>
            </w:r>
            <w:r w:rsidR="00383126" w:rsidRPr="00047C3D">
              <w:rPr>
                <w:rFonts w:ascii="Arial" w:hAnsi="Arial" w:cs="Arial"/>
                <w:b/>
                <w:sz w:val="20"/>
                <w:szCs w:val="20"/>
              </w:rPr>
              <w:t>do czasu utraty ważności przez to pozwolenie złożenie zabezpieczenia nie</w:t>
            </w:r>
            <w:r w:rsidR="005D7F31" w:rsidRPr="00047C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3126" w:rsidRPr="00047C3D">
              <w:rPr>
                <w:rFonts w:ascii="Arial" w:hAnsi="Arial" w:cs="Arial"/>
                <w:b/>
                <w:sz w:val="20"/>
                <w:szCs w:val="20"/>
              </w:rPr>
              <w:t>będzie obowiązkowe</w:t>
            </w:r>
            <w:r w:rsidR="00987B1F" w:rsidRPr="00047C3D">
              <w:rPr>
                <w:rFonts w:ascii="Arial" w:hAnsi="Arial" w:cs="Arial"/>
                <w:sz w:val="20"/>
                <w:szCs w:val="20"/>
              </w:rPr>
              <w:t>, z</w:t>
            </w:r>
            <w:r w:rsidR="005D7F31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7B1F" w:rsidRPr="00047C3D">
              <w:rPr>
                <w:rFonts w:ascii="Arial" w:hAnsi="Arial" w:cs="Arial"/>
                <w:sz w:val="20"/>
                <w:szCs w:val="20"/>
              </w:rPr>
              <w:t>wyjątkiem sytuacji, gdy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7B1F" w:rsidRPr="00047C3D">
              <w:rPr>
                <w:rFonts w:ascii="Arial" w:hAnsi="Arial" w:cs="Arial"/>
                <w:sz w:val="20"/>
                <w:szCs w:val="20"/>
              </w:rPr>
              <w:t>organ celny zażąda złożenia zabezpieczenia, ponieważ uzna, że nie jest pewne, czy kwota należności celnych przywozowych lub wywozowych odpowiadająca długowi celnemu oraz inne należności zostaną zapłacone w przewidzianym terminie.</w:t>
            </w:r>
            <w:r w:rsidR="007B6CD4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3126" w:rsidRPr="00047C3D">
              <w:rPr>
                <w:rFonts w:ascii="Arial" w:hAnsi="Arial" w:cs="Arial"/>
                <w:b/>
                <w:sz w:val="20"/>
                <w:szCs w:val="20"/>
              </w:rPr>
              <w:t>Dotyczy to również pozwoleń na prowadzenie magazynu czasowego składowania</w:t>
            </w:r>
            <w:r w:rsidR="007B6CD4" w:rsidRPr="00047C3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372C" w:rsidRPr="00047C3D" w:rsidRDefault="00DC372C" w:rsidP="00BD0E9E">
            <w:pPr>
              <w:spacing w:before="240"/>
              <w:jc w:val="both"/>
              <w:rPr>
                <w:rFonts w:ascii="Arial" w:hAnsi="Arial" w:cs="Arial"/>
                <w:b/>
                <w:u w:val="single"/>
              </w:rPr>
            </w:pPr>
            <w:r w:rsidRPr="00047C3D">
              <w:rPr>
                <w:rFonts w:ascii="Arial" w:hAnsi="Arial" w:cs="Arial"/>
                <w:b/>
                <w:u w:val="single"/>
              </w:rPr>
              <w:t xml:space="preserve">Wysokość zabezpieczenia 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Zgodnie z art. 90 UKC wysokość składanego zabezpieczenia obowiązkowego organy celne ustalają: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1) w wysokości równej kwocie należności celnych przywozowych lub wywozowych odpowiadającej długowi celnemu oraz kwocie innych należności (np. podatek VAT, akcyza, opłata paliwowa</w:t>
            </w:r>
            <w:r w:rsidR="006B1E51" w:rsidRPr="00047C3D">
              <w:rPr>
                <w:rFonts w:ascii="Arial" w:hAnsi="Arial" w:cs="Arial"/>
                <w:sz w:val="20"/>
                <w:szCs w:val="20"/>
              </w:rPr>
              <w:t xml:space="preserve"> – w imporcie</w:t>
            </w:r>
            <w:r w:rsidRPr="00047C3D">
              <w:rPr>
                <w:rFonts w:ascii="Arial" w:hAnsi="Arial" w:cs="Arial"/>
                <w:sz w:val="20"/>
                <w:szCs w:val="20"/>
              </w:rPr>
              <w:t>) – jeżeli kwotę tę można dokładnie ustalić w chwili, gdy</w:t>
            </w:r>
            <w:r w:rsidR="006D49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Pr="00047C3D">
              <w:rPr>
                <w:rFonts w:ascii="Arial" w:hAnsi="Arial" w:cs="Arial"/>
                <w:sz w:val="20"/>
                <w:szCs w:val="20"/>
              </w:rPr>
              <w:t>wymagane jest złożenie zabezpieczenia;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 xml:space="preserve">2) w maksymalnej, w ocenie organów celnych, już powstałej </w:t>
            </w:r>
            <w:r w:rsidRPr="00047C3D">
              <w:rPr>
                <w:rFonts w:ascii="Arial" w:hAnsi="Arial" w:cs="Arial"/>
                <w:sz w:val="20"/>
                <w:szCs w:val="20"/>
                <w:u w:val="single"/>
              </w:rPr>
              <w:t>lub mogącej powstać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kwocie należności </w:t>
            </w:r>
            <w:r w:rsidRPr="00047C3D">
              <w:rPr>
                <w:rFonts w:ascii="Arial" w:hAnsi="Arial" w:cs="Arial"/>
                <w:sz w:val="20"/>
                <w:szCs w:val="20"/>
              </w:rPr>
              <w:lastRenderedPageBreak/>
              <w:t>celnych przywozowych lub wywozowych odpowiadającej długowi celnemu i</w:t>
            </w:r>
            <w:r w:rsidR="00B15A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Pr="00047C3D">
              <w:rPr>
                <w:rFonts w:ascii="Arial" w:hAnsi="Arial" w:cs="Arial"/>
                <w:sz w:val="20"/>
                <w:szCs w:val="20"/>
              </w:rPr>
              <w:t>innych należności –  jeżeli ustalenie dokładnej kwoty w chwili, gdy wymagane jest złożenie zabezpieczenie nie jest możliwe.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Wysokość zabezpieczenia nieobowiązkowego powinna być ustalona przez organ celny jako równa kwocie należności celnych przywozowych lub wywozowych odpowiadającej długowi celnemu oraz</w:t>
            </w:r>
            <w:r w:rsidR="00AD0B27">
              <w:rPr>
                <w:rFonts w:ascii="Arial" w:hAnsi="Arial" w:cs="Arial"/>
                <w:sz w:val="20"/>
                <w:szCs w:val="20"/>
              </w:rPr>
              <w:t> 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innych należności, co do których organ celny uzna, że nie jest pewne, czy ta kwota zostanie zapłacona w przewidzianym terminie. Jednak wysokość tego zabezpieczenia powinna być obliczona tak, aby nie przekraczała poziomu obliczonego </w:t>
            </w:r>
            <w:r w:rsidR="00AD0B27" w:rsidRPr="00047C3D">
              <w:rPr>
                <w:rFonts w:ascii="Arial" w:hAnsi="Arial" w:cs="Arial"/>
                <w:sz w:val="20"/>
                <w:szCs w:val="20"/>
              </w:rPr>
              <w:t>lub</w:t>
            </w:r>
            <w:r w:rsidR="00AD0B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7C3D">
              <w:rPr>
                <w:rFonts w:ascii="Arial" w:hAnsi="Arial" w:cs="Arial"/>
                <w:sz w:val="20"/>
                <w:szCs w:val="20"/>
              </w:rPr>
              <w:t>oszacowanego dla zabezpieczenia obowiązkowego.</w:t>
            </w:r>
          </w:p>
          <w:p w:rsidR="00987B1F" w:rsidRPr="00047C3D" w:rsidRDefault="00987B1F" w:rsidP="00047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b/>
                <w:u w:val="single"/>
              </w:rPr>
            </w:pPr>
            <w:r w:rsidRPr="00047C3D">
              <w:rPr>
                <w:rFonts w:ascii="Arial" w:hAnsi="Arial" w:cs="Arial"/>
                <w:b/>
                <w:u w:val="single"/>
              </w:rPr>
              <w:t>Wysokość zabezpieczenia generalnego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 xml:space="preserve">W przypadku uzyskania przez podmiot pozwolenia na </w:t>
            </w:r>
            <w:r w:rsidR="000C7731" w:rsidRPr="00047C3D">
              <w:rPr>
                <w:rFonts w:ascii="Arial" w:hAnsi="Arial" w:cs="Arial"/>
                <w:sz w:val="20"/>
                <w:szCs w:val="20"/>
              </w:rPr>
              <w:t>złożenie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zabezpieczenia generalnego kwota zabezpieczenia ustalona zgodnie z art. 90 UKC będzie stanowiła kwotę referencyjną, która jest podstawą ustalenia wysokości składanego zabezpieczenia generalnego. 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 xml:space="preserve">Przepisy unijne przewidują cztery poziomy zabezpieczenia generalnego dla potencjalnych długów celnych: 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 xml:space="preserve">1) w wysokości 100% kwoty referencyjnej, 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2) w wysokości obniżonej do 50% kwoty referencyjnej,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3) w wysokości obniżonej do 30% kwoty referencyjnej,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4) w wysokości obniżonej do 0% kwoty referencyjnej (zwolnienie z obowiązku złożenia zabezpieczenia).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Natomiast dla powstałych długów celnych możliwe są dwa poziomy zabezpieczenia: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 xml:space="preserve">1) w wysokości 100% kwoty referencyjnej, 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3) w wysokości obniżonej do 30% kwoty referencyjnej.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Przykładowo: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- w przypadku dopuszczenia do obrotu (w tym uprzedniego przywozu w uszlachetnianiu biernym), odprawy czasowej z częściowym zwolnieniem od cła i końcowego przeznaczenia zabezpieczenie generalne może zostać obniżone do 30% kwoty referencyjnej,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- w przypadku czasowego składowania, składowania celnego, uszlachetniania czynnego i</w:t>
            </w:r>
            <w:r w:rsidR="00B15A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Pr="00047C3D">
              <w:rPr>
                <w:rFonts w:ascii="Arial" w:hAnsi="Arial" w:cs="Arial"/>
                <w:sz w:val="20"/>
                <w:szCs w:val="20"/>
              </w:rPr>
              <w:t>odprawy czasowej z całkowitym zwolnieniem od cła zabezpieczenie generalne może zostać obniżone do 50 %, 30% lub 0% kwoty referencyjnej</w:t>
            </w:r>
            <w:r w:rsidR="00752340" w:rsidRPr="00047C3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D49F5" w:rsidRPr="00047C3D" w:rsidRDefault="00752340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 xml:space="preserve">Dla zabezpieczeń funkcjonujących w tranzycie </w:t>
            </w:r>
            <w:r w:rsidR="00AD0B27" w:rsidRPr="00047C3D">
              <w:rPr>
                <w:rFonts w:ascii="Arial" w:hAnsi="Arial" w:cs="Arial"/>
                <w:sz w:val="20"/>
                <w:szCs w:val="20"/>
              </w:rPr>
              <w:t>pozosta</w:t>
            </w:r>
            <w:r w:rsidR="00AD0B27">
              <w:rPr>
                <w:rFonts w:ascii="Arial" w:hAnsi="Arial" w:cs="Arial"/>
                <w:sz w:val="20"/>
                <w:szCs w:val="20"/>
              </w:rPr>
              <w:t>j</w:t>
            </w:r>
            <w:r w:rsidR="00AD0B27" w:rsidRPr="00047C3D">
              <w:rPr>
                <w:rFonts w:ascii="Arial" w:hAnsi="Arial" w:cs="Arial"/>
                <w:sz w:val="20"/>
                <w:szCs w:val="20"/>
              </w:rPr>
              <w:t>ą</w:t>
            </w:r>
            <w:r w:rsidRPr="00047C3D">
              <w:rPr>
                <w:rFonts w:ascii="Arial" w:hAnsi="Arial" w:cs="Arial"/>
                <w:sz w:val="20"/>
                <w:szCs w:val="20"/>
              </w:rPr>
              <w:t>, jak dotychczas, cztery poziomy zabezpieczenia, tj. 100%, 50%, 30% i 0% kwoty referencyjnej.</w:t>
            </w:r>
          </w:p>
          <w:p w:rsidR="00DC372C" w:rsidRPr="00047C3D" w:rsidRDefault="00DC372C" w:rsidP="00BD0E9E">
            <w:pPr>
              <w:spacing w:before="240"/>
              <w:jc w:val="both"/>
              <w:rPr>
                <w:rFonts w:ascii="Arial" w:hAnsi="Arial" w:cs="Arial"/>
                <w:b/>
                <w:u w:val="single"/>
              </w:rPr>
            </w:pPr>
            <w:r w:rsidRPr="00047C3D">
              <w:rPr>
                <w:rFonts w:ascii="Arial" w:hAnsi="Arial" w:cs="Arial"/>
                <w:b/>
                <w:u w:val="single"/>
              </w:rPr>
              <w:t xml:space="preserve">Pozwolenie na </w:t>
            </w:r>
            <w:r w:rsidR="000C7731" w:rsidRPr="00047C3D">
              <w:rPr>
                <w:rFonts w:ascii="Arial" w:hAnsi="Arial" w:cs="Arial"/>
                <w:b/>
                <w:u w:val="single"/>
              </w:rPr>
              <w:t>złożenie</w:t>
            </w:r>
            <w:r w:rsidRPr="00047C3D">
              <w:rPr>
                <w:rFonts w:ascii="Arial" w:hAnsi="Arial" w:cs="Arial"/>
                <w:b/>
                <w:u w:val="single"/>
              </w:rPr>
              <w:t xml:space="preserve"> zabezpieczenia generalnego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Podobnie jak dotychczas organ celny może, zgodnie z art. 89 ust. 5 UKC, zezwolić na</w:t>
            </w:r>
            <w:r w:rsidR="00B15A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Pr="00047C3D">
              <w:rPr>
                <w:rFonts w:ascii="Arial" w:hAnsi="Arial" w:cs="Arial"/>
                <w:sz w:val="20"/>
                <w:szCs w:val="20"/>
              </w:rPr>
              <w:t>złożenie zabezpieczenia generalnego obejmującego kwotę należności celnych przywozowych lub</w:t>
            </w:r>
            <w:r w:rsidR="006D49F5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7C3D">
              <w:rPr>
                <w:rFonts w:ascii="Arial" w:hAnsi="Arial" w:cs="Arial"/>
                <w:sz w:val="20"/>
                <w:szCs w:val="20"/>
              </w:rPr>
              <w:t>wywozowych odpowiadającą długowi celnemu w odniesieniu do dwóch lub więcej operacji, zgłoszeń lub deklaracji, lub procedur celnych – na wniosek dłużnika lub</w:t>
            </w:r>
            <w:r w:rsidR="00B15A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osoby, która może stać się dłużnikiem, a także na wniosek osoby trzeciej składającej, </w:t>
            </w:r>
            <w:r w:rsidR="00383126" w:rsidRPr="00047C3D">
              <w:rPr>
                <w:rFonts w:ascii="Arial" w:hAnsi="Arial" w:cs="Arial"/>
                <w:b/>
                <w:sz w:val="20"/>
                <w:szCs w:val="20"/>
              </w:rPr>
              <w:t>za</w:t>
            </w:r>
            <w:r w:rsidR="006D49F5" w:rsidRPr="00047C3D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383126" w:rsidRPr="00047C3D">
              <w:rPr>
                <w:rFonts w:ascii="Arial" w:hAnsi="Arial" w:cs="Arial"/>
                <w:b/>
                <w:sz w:val="20"/>
                <w:szCs w:val="20"/>
              </w:rPr>
              <w:t>zgodą organu celnego</w:t>
            </w:r>
            <w:r w:rsidRPr="00047C3D">
              <w:rPr>
                <w:rFonts w:ascii="Arial" w:hAnsi="Arial" w:cs="Arial"/>
                <w:sz w:val="20"/>
                <w:szCs w:val="20"/>
              </w:rPr>
              <w:t>, zabezpieczenie zamiast osób, od</w:t>
            </w:r>
            <w:r w:rsidR="00AD0B27">
              <w:rPr>
                <w:rFonts w:ascii="Arial" w:hAnsi="Arial" w:cs="Arial"/>
                <w:sz w:val="20"/>
                <w:szCs w:val="20"/>
              </w:rPr>
              <w:t> </w:t>
            </w:r>
            <w:r w:rsidRPr="00047C3D">
              <w:rPr>
                <w:rFonts w:ascii="Arial" w:hAnsi="Arial" w:cs="Arial"/>
                <w:sz w:val="20"/>
                <w:szCs w:val="20"/>
              </w:rPr>
              <w:t>których wymagane jest złożenie zabezpieczenia.</w:t>
            </w:r>
          </w:p>
          <w:p w:rsidR="003D3D33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 xml:space="preserve">W okresie przejściowym po wejściu w życie nowych przepisów unijnych </w:t>
            </w:r>
            <w:r w:rsidR="00987B1F" w:rsidRPr="00047C3D">
              <w:rPr>
                <w:rFonts w:ascii="Arial" w:hAnsi="Arial" w:cs="Arial"/>
                <w:sz w:val="20"/>
                <w:szCs w:val="20"/>
              </w:rPr>
              <w:t xml:space="preserve">również </w:t>
            </w:r>
            <w:r w:rsidRPr="00047C3D">
              <w:rPr>
                <w:rFonts w:ascii="Arial" w:hAnsi="Arial" w:cs="Arial"/>
                <w:sz w:val="20"/>
                <w:szCs w:val="20"/>
              </w:rPr>
              <w:t>pozwolenia na</w:t>
            </w:r>
            <w:r w:rsidR="00773124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złożenie zabezpieczenia generalnego wydane przed </w:t>
            </w:r>
            <w:r w:rsidR="005B5948" w:rsidRPr="00047C3D">
              <w:rPr>
                <w:rFonts w:ascii="Arial" w:hAnsi="Arial" w:cs="Arial"/>
                <w:sz w:val="20"/>
                <w:szCs w:val="20"/>
              </w:rPr>
              <w:t xml:space="preserve">dniem 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1 maja 2016 r. zachowają ważność, jednak </w:t>
            </w:r>
            <w:r w:rsidR="00383126" w:rsidRPr="00047C3D">
              <w:rPr>
                <w:rFonts w:ascii="Arial" w:hAnsi="Arial" w:cs="Arial"/>
                <w:b/>
                <w:sz w:val="20"/>
                <w:szCs w:val="20"/>
              </w:rPr>
              <w:t>nie dłużej niż do 1 maja 2019 r. albo do ponownej oceny pozwolenia.</w:t>
            </w:r>
            <w:r w:rsidR="000A6B24" w:rsidRPr="00047C3D">
              <w:rPr>
                <w:rFonts w:ascii="Arial" w:hAnsi="Arial" w:cs="Arial"/>
                <w:sz w:val="20"/>
                <w:szCs w:val="20"/>
              </w:rPr>
              <w:t xml:space="preserve"> Pozwolenia te </w:t>
            </w:r>
            <w:r w:rsidR="00F825B1" w:rsidRPr="00047C3D">
              <w:rPr>
                <w:rFonts w:ascii="Arial" w:hAnsi="Arial" w:cs="Arial"/>
                <w:sz w:val="20"/>
                <w:szCs w:val="20"/>
              </w:rPr>
              <w:t>pod rządami nowych przepisów unijnych będą traktowane jako pozwolenia na</w:t>
            </w:r>
            <w:r w:rsidR="006D49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="00F825B1" w:rsidRPr="00047C3D">
              <w:rPr>
                <w:rFonts w:ascii="Arial" w:hAnsi="Arial" w:cs="Arial"/>
                <w:sz w:val="20"/>
                <w:szCs w:val="20"/>
              </w:rPr>
              <w:t>złożenie zabezpieczenia generalnego w pełnej wysokości (100% kwoty referencyjnej)</w:t>
            </w:r>
            <w:r w:rsidR="00F659F4" w:rsidRPr="00047C3D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1E5F57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9F4" w:rsidRPr="00047C3D">
              <w:rPr>
                <w:rFonts w:ascii="Arial" w:hAnsi="Arial" w:cs="Arial"/>
                <w:sz w:val="20"/>
                <w:szCs w:val="20"/>
              </w:rPr>
              <w:t>obszarze ważności – terytorium Rzeczypospolitej Polskiej</w:t>
            </w:r>
            <w:r w:rsidR="00F825B1" w:rsidRPr="00047C3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825B1" w:rsidRPr="00BF6F60" w:rsidRDefault="00383126" w:rsidP="00383126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pacing w:before="120"/>
              <w:jc w:val="both"/>
              <w:rPr>
                <w:rFonts w:ascii="Arial" w:hAnsi="Arial" w:cs="Arial"/>
                <w:color w:val="006600"/>
              </w:rPr>
            </w:pPr>
            <w:r w:rsidRPr="00BF6F60">
              <w:rPr>
                <w:rFonts w:ascii="Arial" w:hAnsi="Arial" w:cs="Arial"/>
                <w:b/>
                <w:color w:val="006600"/>
              </w:rPr>
              <w:t>Kwota zabezpieczenia generalnego faktycznie złożonego na podstawie „starego” pozwolenia (ważnego po dniu 30 kwietnia 2016 r.) będzie od dnia 1 maja 2016</w:t>
            </w:r>
            <w:r w:rsidR="006D49F5" w:rsidRPr="00BF6F60">
              <w:rPr>
                <w:rFonts w:ascii="Arial" w:hAnsi="Arial" w:cs="Arial"/>
                <w:b/>
                <w:color w:val="006600"/>
              </w:rPr>
              <w:t xml:space="preserve"> </w:t>
            </w:r>
            <w:r w:rsidRPr="00BF6F60">
              <w:rPr>
                <w:rFonts w:ascii="Arial" w:hAnsi="Arial" w:cs="Arial"/>
                <w:b/>
                <w:color w:val="006600"/>
              </w:rPr>
              <w:t>r. uznawana za kwotę referencyjną dla tego pozwolenia</w:t>
            </w:r>
            <w:r w:rsidR="003D3D33" w:rsidRPr="00BF6F60">
              <w:rPr>
                <w:rFonts w:ascii="Arial" w:hAnsi="Arial" w:cs="Arial"/>
                <w:color w:val="006600"/>
              </w:rPr>
              <w:t xml:space="preserve">. </w:t>
            </w:r>
          </w:p>
          <w:p w:rsidR="00DC372C" w:rsidRPr="00047C3D" w:rsidRDefault="00BA4274" w:rsidP="003C548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C57">
              <w:rPr>
                <w:rFonts w:ascii="Arial" w:hAnsi="Arial" w:cs="Arial"/>
                <w:sz w:val="20"/>
                <w:szCs w:val="20"/>
              </w:rPr>
              <w:lastRenderedPageBreak/>
              <w:t>W</w:t>
            </w:r>
            <w:r w:rsidR="003C5481" w:rsidRPr="004A5C57">
              <w:rPr>
                <w:rFonts w:ascii="Arial" w:hAnsi="Arial" w:cs="Arial"/>
                <w:sz w:val="20"/>
                <w:szCs w:val="20"/>
              </w:rPr>
              <w:t xml:space="preserve"> sytuacji, gdy kwota zabezpieczenia generalnego złożonego na podstawie „starego” pozwolenia okaże się mniejsza od kwoty referencyjnej ustalonej zgodnie z nowymi przepisami unijnymi, konieczne będzie złożenie dodatkowego zabezpieczenia. </w:t>
            </w:r>
            <w:r w:rsidR="00F825B1" w:rsidRPr="004A5C57">
              <w:rPr>
                <w:rFonts w:ascii="Arial" w:hAnsi="Arial" w:cs="Arial"/>
                <w:sz w:val="20"/>
                <w:szCs w:val="20"/>
              </w:rPr>
              <w:t>Ubieganie się przez podmiot o</w:t>
            </w:r>
            <w:r w:rsidR="00B15AF5" w:rsidRPr="004A5C57">
              <w:rPr>
                <w:rFonts w:ascii="Arial" w:hAnsi="Arial" w:cs="Arial"/>
                <w:sz w:val="20"/>
                <w:szCs w:val="20"/>
              </w:rPr>
              <w:t> </w:t>
            </w:r>
            <w:r w:rsidR="00F825B1" w:rsidRPr="004A5C57">
              <w:rPr>
                <w:rFonts w:ascii="Arial" w:hAnsi="Arial" w:cs="Arial"/>
                <w:sz w:val="20"/>
                <w:szCs w:val="20"/>
              </w:rPr>
              <w:t>pozwolenie na</w:t>
            </w:r>
            <w:r w:rsidR="006D49F5" w:rsidRPr="004A5C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25B1" w:rsidRPr="004A5C57">
              <w:rPr>
                <w:rFonts w:ascii="Arial" w:hAnsi="Arial" w:cs="Arial"/>
                <w:sz w:val="20"/>
                <w:szCs w:val="20"/>
              </w:rPr>
              <w:t>złożenie</w:t>
            </w:r>
            <w:r w:rsidR="00F825B1" w:rsidRPr="00047C3D">
              <w:rPr>
                <w:rFonts w:ascii="Arial" w:hAnsi="Arial" w:cs="Arial"/>
                <w:sz w:val="20"/>
                <w:szCs w:val="20"/>
              </w:rPr>
              <w:t xml:space="preserve"> zabezpieczenia generalnego w obniżonej wysokości będzie </w:t>
            </w:r>
            <w:r w:rsidR="00630D7F" w:rsidRPr="00047C3D">
              <w:rPr>
                <w:rFonts w:ascii="Arial" w:hAnsi="Arial" w:cs="Arial"/>
                <w:sz w:val="20"/>
                <w:szCs w:val="20"/>
              </w:rPr>
              <w:t xml:space="preserve">wymagać </w:t>
            </w:r>
            <w:r w:rsidR="00F825B1" w:rsidRPr="00047C3D">
              <w:rPr>
                <w:rFonts w:ascii="Arial" w:hAnsi="Arial" w:cs="Arial"/>
                <w:sz w:val="20"/>
                <w:szCs w:val="20"/>
              </w:rPr>
              <w:t>złożenia wniosku o</w:t>
            </w:r>
            <w:r w:rsidR="006D49F5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25B1" w:rsidRPr="00047C3D">
              <w:rPr>
                <w:rFonts w:ascii="Arial" w:hAnsi="Arial" w:cs="Arial"/>
                <w:sz w:val="20"/>
                <w:szCs w:val="20"/>
              </w:rPr>
              <w:t>jego udzielenie</w:t>
            </w:r>
            <w:r w:rsidR="003D3D33" w:rsidRPr="00047C3D">
              <w:rPr>
                <w:rFonts w:ascii="Arial" w:hAnsi="Arial" w:cs="Arial"/>
                <w:sz w:val="20"/>
                <w:szCs w:val="20"/>
              </w:rPr>
              <w:t xml:space="preserve"> na podstawie nowych przepisów unijnych</w:t>
            </w:r>
            <w:r w:rsidR="00F825B1" w:rsidRPr="00047C3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D3D33" w:rsidRPr="00047C3D" w:rsidRDefault="00B85297" w:rsidP="003D3D3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 xml:space="preserve">Różnice </w:t>
            </w:r>
            <w:r w:rsidR="007145D5" w:rsidRPr="00047C3D">
              <w:rPr>
                <w:rFonts w:ascii="Arial" w:hAnsi="Arial" w:cs="Arial"/>
                <w:sz w:val="20"/>
                <w:szCs w:val="20"/>
              </w:rPr>
              <w:t xml:space="preserve">pomiędzy </w:t>
            </w:r>
            <w:r w:rsidRPr="00047C3D">
              <w:rPr>
                <w:rFonts w:ascii="Arial" w:hAnsi="Arial" w:cs="Arial"/>
                <w:sz w:val="20"/>
                <w:szCs w:val="20"/>
              </w:rPr>
              <w:t>warunk</w:t>
            </w:r>
            <w:r w:rsidR="007145D5" w:rsidRPr="00047C3D">
              <w:rPr>
                <w:rFonts w:ascii="Arial" w:hAnsi="Arial" w:cs="Arial"/>
                <w:sz w:val="20"/>
                <w:szCs w:val="20"/>
              </w:rPr>
              <w:t>ami</w:t>
            </w:r>
            <w:r w:rsidRPr="00047C3D">
              <w:rPr>
                <w:rFonts w:ascii="Arial" w:hAnsi="Arial" w:cs="Arial"/>
                <w:sz w:val="20"/>
                <w:szCs w:val="20"/>
              </w:rPr>
              <w:t>, od których spełnienia zależą poszczególne poziomy obniżenia zabezpieczenia generalnego oraz różnice w zakresie obszaru ważności zabezpieczenia (zabezpieczenie do procedury tranzytu</w:t>
            </w:r>
            <w:r w:rsidR="003A0B5D" w:rsidRPr="00047C3D">
              <w:rPr>
                <w:rFonts w:ascii="Arial" w:hAnsi="Arial" w:cs="Arial"/>
                <w:sz w:val="20"/>
                <w:szCs w:val="20"/>
              </w:rPr>
              <w:t>,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co do zasady</w:t>
            </w:r>
            <w:r w:rsidR="003A0B5D" w:rsidRPr="00047C3D">
              <w:rPr>
                <w:rFonts w:ascii="Arial" w:hAnsi="Arial" w:cs="Arial"/>
                <w:sz w:val="20"/>
                <w:szCs w:val="20"/>
              </w:rPr>
              <w:t>,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powinno być ważne w wielu państwach członkowskich)</w:t>
            </w:r>
            <w:r w:rsidR="005F339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F339F" w:rsidRPr="00320565">
              <w:rPr>
                <w:rFonts w:ascii="Arial" w:hAnsi="Arial" w:cs="Arial"/>
                <w:sz w:val="20"/>
                <w:szCs w:val="20"/>
              </w:rPr>
              <w:t xml:space="preserve">a także obowiązek monitorowania kwot referencyjnych zabezpieczenia </w:t>
            </w:r>
            <w:r w:rsidR="003A0B5D" w:rsidRPr="00047C3D">
              <w:rPr>
                <w:rFonts w:ascii="Arial" w:hAnsi="Arial" w:cs="Arial"/>
                <w:sz w:val="20"/>
                <w:szCs w:val="20"/>
              </w:rPr>
              <w:t xml:space="preserve">powoduje </w:t>
            </w:r>
            <w:r w:rsidRPr="00047C3D">
              <w:rPr>
                <w:rFonts w:ascii="Arial" w:hAnsi="Arial" w:cs="Arial"/>
                <w:sz w:val="20"/>
                <w:szCs w:val="20"/>
              </w:rPr>
              <w:t>konieczność wydania odrębnych pozwoleń</w:t>
            </w:r>
            <w:r w:rsidR="003A0B5D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0B27" w:rsidRPr="00047C3D">
              <w:rPr>
                <w:rFonts w:ascii="Arial" w:hAnsi="Arial" w:cs="Arial"/>
                <w:sz w:val="20"/>
                <w:szCs w:val="20"/>
              </w:rPr>
              <w:t>na</w:t>
            </w:r>
            <w:r w:rsidR="00AD0B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0B5D" w:rsidRPr="00047C3D">
              <w:rPr>
                <w:rFonts w:ascii="Arial" w:hAnsi="Arial" w:cs="Arial"/>
                <w:sz w:val="20"/>
                <w:szCs w:val="20"/>
              </w:rPr>
              <w:t xml:space="preserve">złożenie zabezpieczenia generalnego </w:t>
            </w:r>
            <w:r w:rsidR="003A0B5D" w:rsidRPr="00320565">
              <w:rPr>
                <w:rFonts w:ascii="Arial" w:hAnsi="Arial" w:cs="Arial"/>
                <w:sz w:val="20"/>
                <w:szCs w:val="20"/>
              </w:rPr>
              <w:t>d</w:t>
            </w:r>
            <w:r w:rsidRPr="00320565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5F339F" w:rsidRPr="00320565">
              <w:rPr>
                <w:rFonts w:ascii="Arial" w:hAnsi="Arial" w:cs="Arial"/>
                <w:sz w:val="20"/>
                <w:szCs w:val="20"/>
              </w:rPr>
              <w:t>każdej operacji celnej/</w:t>
            </w:r>
            <w:r w:rsidRPr="00320565">
              <w:rPr>
                <w:rFonts w:ascii="Arial" w:hAnsi="Arial" w:cs="Arial"/>
                <w:sz w:val="20"/>
                <w:szCs w:val="20"/>
              </w:rPr>
              <w:t xml:space="preserve">procedury </w:t>
            </w:r>
            <w:r w:rsidR="005F339F" w:rsidRPr="00320565">
              <w:rPr>
                <w:rFonts w:ascii="Arial" w:hAnsi="Arial" w:cs="Arial"/>
                <w:sz w:val="20"/>
                <w:szCs w:val="20"/>
              </w:rPr>
              <w:t>celnej</w:t>
            </w:r>
            <w:r w:rsidRPr="00320565">
              <w:rPr>
                <w:rFonts w:ascii="Arial" w:hAnsi="Arial" w:cs="Arial"/>
                <w:sz w:val="20"/>
                <w:szCs w:val="20"/>
              </w:rPr>
              <w:t>.</w:t>
            </w:r>
            <w:r w:rsidRPr="005F339F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3D3D33" w:rsidRPr="00047C3D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3D3D33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3126" w:rsidRPr="00047C3D">
              <w:rPr>
                <w:rFonts w:ascii="Arial" w:hAnsi="Arial" w:cs="Arial"/>
                <w:b/>
                <w:sz w:val="20"/>
                <w:szCs w:val="20"/>
              </w:rPr>
              <w:t>tego powodu ze względów praktycznych wskazane jest</w:t>
            </w:r>
            <w:r w:rsidR="005F33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3126" w:rsidRPr="00047C3D">
              <w:rPr>
                <w:rFonts w:ascii="Arial" w:hAnsi="Arial" w:cs="Arial"/>
                <w:b/>
                <w:sz w:val="20"/>
                <w:szCs w:val="20"/>
              </w:rPr>
              <w:t xml:space="preserve">występowanie do organu celnego </w:t>
            </w:r>
            <w:r w:rsidR="00AD0B27" w:rsidRPr="00047C3D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AD0B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3126" w:rsidRPr="00047C3D">
              <w:rPr>
                <w:rFonts w:ascii="Arial" w:hAnsi="Arial" w:cs="Arial"/>
                <w:b/>
                <w:sz w:val="20"/>
                <w:szCs w:val="20"/>
              </w:rPr>
              <w:t>odrębnymi wnioskami dotyczącymi poszczególnych poziomów zabezpieczenia, a nawet dotyczącymi poszczególnych procedur celnych</w:t>
            </w:r>
            <w:r w:rsidR="00183FBD" w:rsidRPr="00047C3D">
              <w:rPr>
                <w:rFonts w:ascii="Arial" w:hAnsi="Arial" w:cs="Arial"/>
                <w:sz w:val="20"/>
                <w:szCs w:val="20"/>
              </w:rPr>
              <w:t>.</w:t>
            </w:r>
            <w:r w:rsidR="003D3D33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 xml:space="preserve">Nowe krajowe przepisy celne nie będą określać wzorów wniosków o </w:t>
            </w:r>
            <w:r w:rsidR="00F659F4" w:rsidRPr="00047C3D">
              <w:rPr>
                <w:rFonts w:ascii="Arial" w:hAnsi="Arial" w:cs="Arial"/>
                <w:sz w:val="20"/>
                <w:szCs w:val="20"/>
              </w:rPr>
              <w:t xml:space="preserve">wydanie </w:t>
            </w:r>
            <w:r w:rsidRPr="00047C3D">
              <w:rPr>
                <w:rFonts w:ascii="Arial" w:hAnsi="Arial" w:cs="Arial"/>
                <w:sz w:val="20"/>
                <w:szCs w:val="20"/>
              </w:rPr>
              <w:t>pozwoleni</w:t>
            </w:r>
            <w:r w:rsidR="00F659F4" w:rsidRPr="00047C3D">
              <w:rPr>
                <w:rFonts w:ascii="Arial" w:hAnsi="Arial" w:cs="Arial"/>
                <w:sz w:val="20"/>
                <w:szCs w:val="20"/>
              </w:rPr>
              <w:t>a</w:t>
            </w:r>
            <w:r w:rsidRPr="00047C3D">
              <w:rPr>
                <w:rFonts w:ascii="Arial" w:hAnsi="Arial" w:cs="Arial"/>
                <w:sz w:val="20"/>
                <w:szCs w:val="20"/>
              </w:rPr>
              <w:t>, a</w:t>
            </w:r>
            <w:r w:rsidR="00B15A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Pr="00047C3D">
              <w:rPr>
                <w:rFonts w:ascii="Arial" w:hAnsi="Arial" w:cs="Arial"/>
                <w:sz w:val="20"/>
                <w:szCs w:val="20"/>
              </w:rPr>
              <w:t>jedynie dane, które obowiązkowo powinny być w nim zawarte. Wnioski składane w formie papierowej mogą mieć zatem dowolną formę, niemniej jednak dla celów pomocniczych można wykorzystać dotychczasową formę wniosku pod warunkiem zawarcia w jego treści danych wymaganych zgodnie z</w:t>
            </w:r>
            <w:r w:rsidR="00AD0B27">
              <w:rPr>
                <w:rFonts w:ascii="Arial" w:hAnsi="Arial" w:cs="Arial"/>
                <w:sz w:val="20"/>
                <w:szCs w:val="20"/>
              </w:rPr>
              <w:t> </w:t>
            </w:r>
            <w:r w:rsidRPr="00047C3D">
              <w:rPr>
                <w:rFonts w:ascii="Arial" w:hAnsi="Arial" w:cs="Arial"/>
                <w:sz w:val="20"/>
                <w:szCs w:val="20"/>
              </w:rPr>
              <w:t>nowymi przepisami</w:t>
            </w:r>
            <w:r w:rsidR="00AF3681" w:rsidRPr="00047C3D">
              <w:rPr>
                <w:rFonts w:ascii="Arial" w:hAnsi="Arial" w:cs="Arial"/>
                <w:sz w:val="20"/>
                <w:szCs w:val="20"/>
              </w:rPr>
              <w:t xml:space="preserve"> w sprawie danych wymaganych we</w:t>
            </w:r>
            <w:r w:rsidR="006D49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="00AF3681" w:rsidRPr="00047C3D">
              <w:rPr>
                <w:rFonts w:ascii="Arial" w:hAnsi="Arial" w:cs="Arial"/>
                <w:sz w:val="20"/>
                <w:szCs w:val="20"/>
              </w:rPr>
              <w:t>wniosku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36686" w:rsidRPr="00047C3D" w:rsidRDefault="00F36686" w:rsidP="00DC372C">
            <w:pPr>
              <w:spacing w:before="120"/>
              <w:jc w:val="both"/>
              <w:rPr>
                <w:rFonts w:ascii="Arial" w:hAnsi="Arial" w:cs="Arial"/>
                <w:b/>
                <w:u w:val="single"/>
              </w:rPr>
            </w:pPr>
            <w:r w:rsidRPr="00047C3D">
              <w:rPr>
                <w:rFonts w:ascii="Arial" w:hAnsi="Arial" w:cs="Arial"/>
                <w:b/>
                <w:u w:val="single"/>
              </w:rPr>
              <w:t xml:space="preserve">Warunki </w:t>
            </w:r>
            <w:r w:rsidR="009571E2" w:rsidRPr="00047C3D">
              <w:rPr>
                <w:rFonts w:ascii="Arial" w:hAnsi="Arial" w:cs="Arial"/>
                <w:b/>
                <w:u w:val="single"/>
              </w:rPr>
              <w:t>uzyskania pozwolenia na złożenie zabezpieczenia generalnego.</w:t>
            </w:r>
          </w:p>
          <w:p w:rsidR="00EF652F" w:rsidRPr="00047C3D" w:rsidRDefault="000C7731" w:rsidP="000C773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 xml:space="preserve">Możliwość skorzystania z obniżenia wysokości zabezpieczenia generalnego </w:t>
            </w:r>
            <w:r w:rsidR="000F75B5" w:rsidRPr="00047C3D">
              <w:rPr>
                <w:rFonts w:ascii="Arial" w:hAnsi="Arial" w:cs="Arial"/>
                <w:sz w:val="20"/>
                <w:szCs w:val="20"/>
              </w:rPr>
              <w:t xml:space="preserve">zapłaty potencjalnych długów </w:t>
            </w:r>
            <w:r w:rsidR="00AD0B27" w:rsidRPr="00047C3D">
              <w:rPr>
                <w:rFonts w:ascii="Arial" w:hAnsi="Arial" w:cs="Arial"/>
                <w:sz w:val="20"/>
                <w:szCs w:val="20"/>
              </w:rPr>
              <w:t>zależ</w:t>
            </w:r>
            <w:r w:rsidR="00AD0B27">
              <w:rPr>
                <w:rFonts w:ascii="Arial" w:hAnsi="Arial" w:cs="Arial"/>
                <w:sz w:val="20"/>
                <w:szCs w:val="20"/>
              </w:rPr>
              <w:t>y</w:t>
            </w:r>
            <w:r w:rsidR="00AD0B27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7C3D">
              <w:rPr>
                <w:rFonts w:ascii="Arial" w:hAnsi="Arial" w:cs="Arial"/>
                <w:sz w:val="20"/>
                <w:szCs w:val="20"/>
              </w:rPr>
              <w:t>od</w:t>
            </w:r>
            <w:r w:rsidR="006D49F5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7C3D">
              <w:rPr>
                <w:rFonts w:ascii="Arial" w:hAnsi="Arial" w:cs="Arial"/>
                <w:sz w:val="20"/>
                <w:szCs w:val="20"/>
              </w:rPr>
              <w:t>spełnienia szeregu warunków określonych w art. 84 rozporządzenia delegowanego</w:t>
            </w:r>
            <w:r w:rsidR="00EF652F" w:rsidRPr="00047C3D">
              <w:rPr>
                <w:rFonts w:ascii="Arial" w:hAnsi="Arial" w:cs="Arial"/>
                <w:sz w:val="20"/>
                <w:szCs w:val="20"/>
              </w:rPr>
              <w:t>.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F652F" w:rsidRPr="00047C3D" w:rsidRDefault="00EF652F" w:rsidP="000C773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Istotnymi warunkami uzyskania pozwolenia na złożenie zabezpieczenia generalnego w</w:t>
            </w:r>
            <w:r w:rsidR="00B15A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Pr="00047C3D">
              <w:rPr>
                <w:rFonts w:ascii="Arial" w:hAnsi="Arial" w:cs="Arial"/>
                <w:sz w:val="20"/>
                <w:szCs w:val="20"/>
              </w:rPr>
              <w:t>obniżonej wysokości są warunki finansowe</w:t>
            </w:r>
            <w:r w:rsidR="009A1618" w:rsidRPr="00047C3D">
              <w:rPr>
                <w:rFonts w:ascii="Arial" w:hAnsi="Arial" w:cs="Arial"/>
                <w:sz w:val="20"/>
                <w:szCs w:val="20"/>
              </w:rPr>
              <w:t>.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618" w:rsidRPr="00047C3D">
              <w:rPr>
                <w:rFonts w:ascii="Arial" w:hAnsi="Arial" w:cs="Arial"/>
                <w:sz w:val="20"/>
                <w:szCs w:val="20"/>
              </w:rPr>
              <w:t>W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szczególności</w:t>
            </w:r>
            <w:r w:rsidR="00C246A7">
              <w:rPr>
                <w:rFonts w:ascii="Arial" w:hAnsi="Arial" w:cs="Arial"/>
                <w:sz w:val="20"/>
                <w:szCs w:val="20"/>
              </w:rPr>
              <w:t xml:space="preserve"> wnioskodawca powinien dowieś</w:t>
            </w:r>
            <w:r w:rsidR="009A1618" w:rsidRPr="00047C3D">
              <w:rPr>
                <w:rFonts w:ascii="Arial" w:hAnsi="Arial" w:cs="Arial"/>
                <w:sz w:val="20"/>
                <w:szCs w:val="20"/>
              </w:rPr>
              <w:t xml:space="preserve">ć, </w:t>
            </w:r>
            <w:r w:rsidR="00752340" w:rsidRPr="00047C3D">
              <w:rPr>
                <w:rFonts w:ascii="Arial" w:hAnsi="Arial" w:cs="Arial"/>
                <w:sz w:val="20"/>
                <w:szCs w:val="20"/>
              </w:rPr>
              <w:t>iż:</w:t>
            </w:r>
            <w:r w:rsidR="00C67EA2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A1618" w:rsidRPr="00047C3D" w:rsidRDefault="00EF652F" w:rsidP="009A161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-</w:t>
            </w:r>
            <w:r w:rsidR="000C7731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618" w:rsidRPr="00047C3D">
              <w:rPr>
                <w:rFonts w:ascii="Arial" w:hAnsi="Arial" w:cs="Arial"/>
                <w:sz w:val="20"/>
                <w:szCs w:val="20"/>
              </w:rPr>
              <w:t>nie został postawiony w stan upadłości</w:t>
            </w:r>
            <w:r w:rsidR="00752340" w:rsidRPr="00047C3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A1618" w:rsidRPr="00047C3D" w:rsidRDefault="00752340" w:rsidP="009A161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A1618" w:rsidRPr="00047C3D">
              <w:rPr>
                <w:rFonts w:ascii="Arial" w:hAnsi="Arial" w:cs="Arial"/>
                <w:sz w:val="20"/>
                <w:szCs w:val="20"/>
              </w:rPr>
              <w:t>w okresie trzech lat przed złożeniem wniosku wywiązywał się z zobowiązań finansowych związanych z uiszczaniem należności celnych i wszelkich innych należności, podatków lub</w:t>
            </w:r>
            <w:r w:rsidR="00B15A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="009A1618" w:rsidRPr="00047C3D">
              <w:rPr>
                <w:rFonts w:ascii="Arial" w:hAnsi="Arial" w:cs="Arial"/>
                <w:sz w:val="20"/>
                <w:szCs w:val="20"/>
              </w:rPr>
              <w:t>opłat pobieranych w związku z przywozem lub wywozem towarów</w:t>
            </w:r>
            <w:r w:rsidRPr="00047C3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A1618" w:rsidRPr="00047C3D" w:rsidRDefault="00752340" w:rsidP="009A161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-</w:t>
            </w:r>
            <w:r w:rsidR="009A1618" w:rsidRPr="00047C3D">
              <w:rPr>
                <w:rFonts w:ascii="Arial" w:hAnsi="Arial" w:cs="Arial"/>
                <w:sz w:val="20"/>
                <w:szCs w:val="20"/>
              </w:rPr>
              <w:t xml:space="preserve"> wykaże na podstawie ewidencji i informacji obejmujących okres trzech lat poprzedzających złożenie wniosku, że jego sytuacja finansowa umożliwia mu wywiązanie się ze</w:t>
            </w:r>
            <w:r w:rsidR="00B15A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="009A1618" w:rsidRPr="00047C3D">
              <w:rPr>
                <w:rFonts w:ascii="Arial" w:hAnsi="Arial" w:cs="Arial"/>
                <w:sz w:val="20"/>
                <w:szCs w:val="20"/>
              </w:rPr>
              <w:t>spoczywających na</w:t>
            </w:r>
            <w:r w:rsidR="006D49F5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618" w:rsidRPr="00047C3D">
              <w:rPr>
                <w:rFonts w:ascii="Arial" w:hAnsi="Arial" w:cs="Arial"/>
                <w:sz w:val="20"/>
                <w:szCs w:val="20"/>
              </w:rPr>
              <w:t>nim zobowiązań, biorąc pod uwagę rodzaj i skalę prowadzonej działalności gospodarczej, a także udowodni, że nie posiada żadnych ujemnych aktywów netto, chyba że istnieje możliwość pokrycia takich aktywów</w:t>
            </w:r>
            <w:r w:rsidRPr="00047C3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52340" w:rsidRPr="00047C3D" w:rsidRDefault="00752340" w:rsidP="000C773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-</w:t>
            </w:r>
            <w:r w:rsidR="009A1618" w:rsidRPr="00047C3D">
              <w:rPr>
                <w:rFonts w:ascii="Arial" w:hAnsi="Arial" w:cs="Arial"/>
                <w:sz w:val="20"/>
                <w:szCs w:val="20"/>
              </w:rPr>
              <w:t xml:space="preserve"> jest w stanie wykazać, że jego sytuacja finansowa umożliwia mu wywiązanie się ze</w:t>
            </w:r>
            <w:r w:rsidR="00B15A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="009A1618" w:rsidRPr="00047C3D">
              <w:rPr>
                <w:rFonts w:ascii="Arial" w:hAnsi="Arial" w:cs="Arial"/>
                <w:sz w:val="20"/>
                <w:szCs w:val="20"/>
              </w:rPr>
              <w:t>spoczywających na nim zobowiązań w odniesieniu do części kwoty referencyjnej nieobjętej zabezpieczeniem</w:t>
            </w:r>
            <w:r w:rsidR="000C7731" w:rsidRPr="00047C3D">
              <w:rPr>
                <w:rFonts w:ascii="Arial" w:hAnsi="Arial" w:cs="Arial"/>
                <w:sz w:val="20"/>
                <w:szCs w:val="20"/>
              </w:rPr>
              <w:t xml:space="preserve"> (odpowiednio 70%, 50% albo 100% kwoty referencyjnej). </w:t>
            </w:r>
          </w:p>
          <w:p w:rsidR="00752340" w:rsidRPr="00047C3D" w:rsidRDefault="00752340" w:rsidP="000C773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Należy dodać, że jeżeli wnioskodawca prowadzi działalność krócej niż trzy lata, warunek wywiązywania się z zobowiązań finansowych związanych z uiszczaniem należności celnych i wszelkich innych należności, podatków lub opłat pobieranych w związku z przywozem lub wywozem towarów, weryfikuje się w oparciu o dostępną ewidencję i dostępne informacje.</w:t>
            </w:r>
          </w:p>
          <w:p w:rsidR="000F75B5" w:rsidRPr="00047C3D" w:rsidRDefault="000F75B5" w:rsidP="000C773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 xml:space="preserve">Możliwość skorzystania z obniżenia do poziomu 30% kwoty referencyjnej wysokości zabezpieczenia generalnego zapłaty powstałych długów </w:t>
            </w:r>
            <w:r w:rsidR="00EE0474" w:rsidRPr="00047C3D">
              <w:rPr>
                <w:rFonts w:ascii="Arial" w:hAnsi="Arial" w:cs="Arial"/>
                <w:sz w:val="20"/>
                <w:szCs w:val="20"/>
              </w:rPr>
              <w:t>uzależnione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0B27">
              <w:rPr>
                <w:rFonts w:ascii="Arial" w:hAnsi="Arial" w:cs="Arial"/>
                <w:sz w:val="20"/>
                <w:szCs w:val="20"/>
              </w:rPr>
              <w:t>jest</w:t>
            </w:r>
            <w:r w:rsidR="00AD0B27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474" w:rsidRPr="00047C3D">
              <w:rPr>
                <w:rFonts w:ascii="Arial" w:hAnsi="Arial" w:cs="Arial"/>
                <w:sz w:val="20"/>
                <w:szCs w:val="20"/>
              </w:rPr>
              <w:t xml:space="preserve">od faktu posiadania statusu </w:t>
            </w:r>
            <w:r w:rsidRPr="00047C3D">
              <w:rPr>
                <w:rFonts w:ascii="Arial" w:hAnsi="Arial" w:cs="Arial"/>
                <w:sz w:val="20"/>
                <w:szCs w:val="20"/>
              </w:rPr>
              <w:t>upoważnion</w:t>
            </w:r>
            <w:r w:rsidR="00EE0474" w:rsidRPr="00047C3D">
              <w:rPr>
                <w:rFonts w:ascii="Arial" w:hAnsi="Arial" w:cs="Arial"/>
                <w:sz w:val="20"/>
                <w:szCs w:val="20"/>
              </w:rPr>
              <w:t>ego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przedsiębiorc</w:t>
            </w:r>
            <w:r w:rsidR="00EE0474" w:rsidRPr="00047C3D">
              <w:rPr>
                <w:rFonts w:ascii="Arial" w:hAnsi="Arial" w:cs="Arial"/>
                <w:sz w:val="20"/>
                <w:szCs w:val="20"/>
              </w:rPr>
              <w:t>y</w:t>
            </w:r>
            <w:r w:rsidRPr="00047C3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b/>
                <w:u w:val="single"/>
              </w:rPr>
            </w:pPr>
            <w:r w:rsidRPr="00047C3D">
              <w:rPr>
                <w:rFonts w:ascii="Arial" w:hAnsi="Arial" w:cs="Arial"/>
                <w:b/>
                <w:u w:val="single"/>
              </w:rPr>
              <w:t>Złożenie zabezpieczenia</w:t>
            </w:r>
          </w:p>
          <w:p w:rsidR="006D49F5" w:rsidRPr="00047C3D" w:rsidRDefault="00DC372C" w:rsidP="0002065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W</w:t>
            </w:r>
            <w:r w:rsidR="00B9766D" w:rsidRPr="00047C3D">
              <w:rPr>
                <w:rFonts w:ascii="Arial" w:hAnsi="Arial" w:cs="Arial"/>
                <w:sz w:val="20"/>
                <w:szCs w:val="20"/>
              </w:rPr>
              <w:t xml:space="preserve"> wykazie podstawowych </w:t>
            </w:r>
            <w:r w:rsidRPr="00047C3D">
              <w:rPr>
                <w:rFonts w:ascii="Arial" w:hAnsi="Arial" w:cs="Arial"/>
                <w:sz w:val="20"/>
                <w:szCs w:val="20"/>
              </w:rPr>
              <w:t>form zabezpieczenia, w których może być złożone zabezpieczenie celne</w:t>
            </w:r>
            <w:r w:rsidR="00B9766D" w:rsidRPr="00047C3D">
              <w:rPr>
                <w:rFonts w:ascii="Arial" w:hAnsi="Arial" w:cs="Arial"/>
                <w:sz w:val="20"/>
                <w:szCs w:val="20"/>
              </w:rPr>
              <w:t xml:space="preserve">, nastąpiła zmiana polegająca na zastąpieniu gwarancji, o której mowa w art. 193 </w:t>
            </w:r>
            <w:r w:rsidR="007E74A7" w:rsidRPr="00047C3D">
              <w:rPr>
                <w:rFonts w:ascii="Arial" w:hAnsi="Arial" w:cs="Arial"/>
                <w:sz w:val="20"/>
                <w:szCs w:val="20"/>
              </w:rPr>
              <w:t>WKC</w:t>
            </w:r>
            <w:r w:rsidR="00B9766D" w:rsidRPr="00047C3D">
              <w:rPr>
                <w:rFonts w:ascii="Arial" w:hAnsi="Arial" w:cs="Arial"/>
                <w:sz w:val="20"/>
                <w:szCs w:val="20"/>
              </w:rPr>
              <w:t>, tzw. zobowiązaniem gwaranta, którego treść, zasady funkcjonowania i</w:t>
            </w:r>
            <w:r w:rsidR="00B15A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="00B9766D" w:rsidRPr="00047C3D">
              <w:rPr>
                <w:rFonts w:ascii="Arial" w:hAnsi="Arial" w:cs="Arial"/>
                <w:sz w:val="20"/>
                <w:szCs w:val="20"/>
              </w:rPr>
              <w:t>odpowiedzialności gwaranta są wzorowane na tzw. gwarancji generalnej stosowanej w</w:t>
            </w:r>
            <w:r w:rsidR="00B15A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="00B9766D" w:rsidRPr="00047C3D">
              <w:rPr>
                <w:rFonts w:ascii="Arial" w:hAnsi="Arial" w:cs="Arial"/>
                <w:sz w:val="20"/>
                <w:szCs w:val="20"/>
              </w:rPr>
              <w:t>procedurze tranzytu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9766D" w:rsidRPr="00047C3D">
              <w:rPr>
                <w:rFonts w:ascii="Arial" w:hAnsi="Arial" w:cs="Arial"/>
                <w:sz w:val="20"/>
                <w:szCs w:val="20"/>
              </w:rPr>
              <w:t xml:space="preserve">Ponadto, inaczej niż dotychczas, </w:t>
            </w:r>
            <w:r w:rsidRPr="00047C3D">
              <w:rPr>
                <w:rFonts w:ascii="Arial" w:hAnsi="Arial" w:cs="Arial"/>
                <w:sz w:val="20"/>
                <w:szCs w:val="20"/>
              </w:rPr>
              <w:t>w załącznik</w:t>
            </w:r>
            <w:r w:rsidR="006D6D95" w:rsidRPr="00047C3D">
              <w:rPr>
                <w:rFonts w:ascii="Arial" w:hAnsi="Arial" w:cs="Arial"/>
                <w:sz w:val="20"/>
                <w:szCs w:val="20"/>
              </w:rPr>
              <w:t>ach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B9766D" w:rsidRPr="00047C3D">
              <w:rPr>
                <w:rFonts w:ascii="Arial" w:hAnsi="Arial" w:cs="Arial"/>
                <w:sz w:val="20"/>
                <w:szCs w:val="20"/>
              </w:rPr>
              <w:t>rozporządzenia wykonawczego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zostały określone </w:t>
            </w:r>
            <w:r w:rsidRPr="00047C3D">
              <w:rPr>
                <w:rFonts w:ascii="Arial" w:hAnsi="Arial" w:cs="Arial"/>
                <w:b/>
                <w:sz w:val="20"/>
                <w:szCs w:val="20"/>
              </w:rPr>
              <w:t>obowiązujące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wzory zobowiązań </w:t>
            </w:r>
            <w:r w:rsidR="009856E1" w:rsidRPr="00047C3D">
              <w:rPr>
                <w:rFonts w:ascii="Arial" w:hAnsi="Arial" w:cs="Arial"/>
                <w:sz w:val="20"/>
                <w:szCs w:val="20"/>
              </w:rPr>
              <w:t>gwaranta</w:t>
            </w:r>
            <w:r w:rsidRPr="00047C3D">
              <w:rPr>
                <w:rFonts w:ascii="Arial" w:hAnsi="Arial" w:cs="Arial"/>
                <w:sz w:val="20"/>
                <w:szCs w:val="20"/>
              </w:rPr>
              <w:t>, w tym wzór „</w:t>
            </w:r>
            <w:r w:rsidR="000C33DB" w:rsidRPr="00047C3D">
              <w:rPr>
                <w:rFonts w:ascii="Arial" w:hAnsi="Arial" w:cs="Arial"/>
                <w:sz w:val="20"/>
                <w:szCs w:val="20"/>
              </w:rPr>
              <w:t>Zobowiązania gwaranta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C33DB" w:rsidRPr="00047C3D">
              <w:rPr>
                <w:rFonts w:ascii="Arial" w:hAnsi="Arial" w:cs="Arial"/>
                <w:sz w:val="20"/>
                <w:szCs w:val="20"/>
              </w:rPr>
              <w:t>Zabezpieczenie generalne</w:t>
            </w:r>
            <w:r w:rsidRPr="00047C3D">
              <w:rPr>
                <w:rFonts w:ascii="Arial" w:hAnsi="Arial" w:cs="Arial"/>
                <w:sz w:val="20"/>
                <w:szCs w:val="20"/>
              </w:rPr>
              <w:t>” (załącznik nr</w:t>
            </w:r>
            <w:r w:rsidR="006D49F5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32-03), którego forma i treść różnią się w istotny </w:t>
            </w:r>
            <w:r w:rsidR="006D49F5" w:rsidRPr="00047C3D"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od obecnie stosowanych dokumentów gwarancji składanych </w:t>
            </w:r>
            <w:r w:rsidR="009856E1" w:rsidRPr="00047C3D">
              <w:rPr>
                <w:rFonts w:ascii="Arial" w:hAnsi="Arial" w:cs="Arial"/>
                <w:sz w:val="20"/>
                <w:szCs w:val="20"/>
              </w:rPr>
              <w:t>jako zabezpieczenie generalne. Jedna z</w:t>
            </w:r>
            <w:r w:rsidR="006D49F5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56E1" w:rsidRPr="00047C3D">
              <w:rPr>
                <w:rFonts w:ascii="Arial" w:hAnsi="Arial" w:cs="Arial"/>
                <w:sz w:val="20"/>
                <w:szCs w:val="20"/>
              </w:rPr>
              <w:t>istotniejszych zmian polega na tym, że</w:t>
            </w:r>
            <w:r w:rsidR="00B15A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="009856E1" w:rsidRPr="00047C3D">
              <w:rPr>
                <w:rFonts w:ascii="Arial" w:hAnsi="Arial" w:cs="Arial"/>
                <w:sz w:val="20"/>
                <w:szCs w:val="20"/>
              </w:rPr>
              <w:t xml:space="preserve">maksymalna kwota </w:t>
            </w:r>
            <w:r w:rsidR="0002065F" w:rsidRPr="00047C3D">
              <w:rPr>
                <w:rFonts w:ascii="Arial" w:hAnsi="Arial" w:cs="Arial"/>
                <w:sz w:val="20"/>
                <w:szCs w:val="20"/>
              </w:rPr>
              <w:t xml:space="preserve">zobowiązania gwaranta </w:t>
            </w:r>
            <w:r w:rsidR="009856E1" w:rsidRPr="00047C3D">
              <w:rPr>
                <w:rFonts w:ascii="Arial" w:hAnsi="Arial" w:cs="Arial"/>
                <w:sz w:val="20"/>
                <w:szCs w:val="20"/>
              </w:rPr>
              <w:t xml:space="preserve">nie może zostać pomniejszona o kwoty, które na mocy </w:t>
            </w:r>
            <w:r w:rsidR="0002065F" w:rsidRPr="00047C3D">
              <w:rPr>
                <w:rFonts w:ascii="Arial" w:hAnsi="Arial" w:cs="Arial"/>
                <w:sz w:val="20"/>
                <w:szCs w:val="20"/>
              </w:rPr>
              <w:t xml:space="preserve">tego </w:t>
            </w:r>
            <w:r w:rsidR="009856E1" w:rsidRPr="00047C3D">
              <w:rPr>
                <w:rFonts w:ascii="Arial" w:hAnsi="Arial" w:cs="Arial"/>
                <w:sz w:val="20"/>
                <w:szCs w:val="20"/>
              </w:rPr>
              <w:t>zobowiązania zostały już zapłacone</w:t>
            </w:r>
            <w:r w:rsidR="0002065F" w:rsidRPr="00047C3D">
              <w:rPr>
                <w:rFonts w:ascii="Arial" w:hAnsi="Arial" w:cs="Arial"/>
                <w:sz w:val="20"/>
                <w:szCs w:val="20"/>
              </w:rPr>
              <w:t xml:space="preserve"> (zasada odnawialności maksymalnej kwoty zobowiązania </w:t>
            </w:r>
            <w:r w:rsidR="0002065F" w:rsidRPr="00047C3D">
              <w:rPr>
                <w:rFonts w:ascii="Arial" w:hAnsi="Arial" w:cs="Arial"/>
                <w:sz w:val="20"/>
                <w:szCs w:val="20"/>
              </w:rPr>
              <w:lastRenderedPageBreak/>
              <w:t>gwaranta)</w:t>
            </w:r>
            <w:r w:rsidR="009856E1" w:rsidRPr="00047C3D">
              <w:rPr>
                <w:rFonts w:ascii="Arial" w:hAnsi="Arial" w:cs="Arial"/>
                <w:sz w:val="20"/>
                <w:szCs w:val="20"/>
              </w:rPr>
              <w:t xml:space="preserve">, chyba że wystąpiono wobec </w:t>
            </w:r>
            <w:r w:rsidR="0002065F" w:rsidRPr="00047C3D">
              <w:rPr>
                <w:rFonts w:ascii="Arial" w:hAnsi="Arial" w:cs="Arial"/>
                <w:sz w:val="20"/>
                <w:szCs w:val="20"/>
              </w:rPr>
              <w:t>gwaranta</w:t>
            </w:r>
            <w:r w:rsidR="009856E1" w:rsidRPr="00047C3D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02065F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="009856E1" w:rsidRPr="00047C3D">
              <w:rPr>
                <w:rFonts w:ascii="Arial" w:hAnsi="Arial" w:cs="Arial"/>
                <w:sz w:val="20"/>
                <w:szCs w:val="20"/>
              </w:rPr>
              <w:t xml:space="preserve">zapłatę należności poniesionych w trakcie operacji celnej, która rozpoczęła się przed otrzymaniem danego wezwania do zapłaty lub w ciągu następnych 30 dni. </w:t>
            </w:r>
          </w:p>
          <w:p w:rsidR="0002065F" w:rsidRPr="00047C3D" w:rsidRDefault="0002065F" w:rsidP="0002065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 xml:space="preserve">Zabezpieczenie generalne składa się w izbie celnej, której dyrektor zezwolił na złożenie zabezpieczenia generalnego zgodnie z art. 89 ust. 5 UKC. 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Ze względu na obsługę zabezpieczeń generalnych w systemach teleinformatycznych Służby Celnej, wskazane jest wystawianie dokumentów zobowiązania gwaranta oddzielnie dla</w:t>
            </w:r>
            <w:r w:rsidR="006D49F5" w:rsidRPr="00047C3D">
              <w:rPr>
                <w:rFonts w:ascii="Arial" w:hAnsi="Arial" w:cs="Arial"/>
                <w:sz w:val="20"/>
                <w:szCs w:val="20"/>
              </w:rPr>
              <w:t> 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każdego pozwolenia na </w:t>
            </w:r>
            <w:r w:rsidR="000C7731" w:rsidRPr="00047C3D">
              <w:rPr>
                <w:rFonts w:ascii="Arial" w:hAnsi="Arial" w:cs="Arial"/>
                <w:sz w:val="20"/>
                <w:szCs w:val="20"/>
              </w:rPr>
              <w:t>złożenie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zabezpieczenia generalnego (oddzielnie dla każdego poziomu zabezpieczenia - odpowiednio 100%, 50% i 30%). Wystawienie dokumentu </w:t>
            </w:r>
            <w:r w:rsidR="006D49F5" w:rsidRPr="00047C3D">
              <w:rPr>
                <w:rFonts w:ascii="Arial" w:hAnsi="Arial" w:cs="Arial"/>
                <w:sz w:val="20"/>
                <w:szCs w:val="20"/>
              </w:rPr>
              <w:t xml:space="preserve">zobowiązania </w:t>
            </w:r>
            <w:r w:rsidRPr="00047C3D">
              <w:rPr>
                <w:rFonts w:ascii="Arial" w:hAnsi="Arial" w:cs="Arial"/>
                <w:sz w:val="20"/>
                <w:szCs w:val="20"/>
              </w:rPr>
              <w:t>gwaran</w:t>
            </w:r>
            <w:r w:rsidR="006D49F5" w:rsidRPr="00047C3D">
              <w:rPr>
                <w:rFonts w:ascii="Arial" w:hAnsi="Arial" w:cs="Arial"/>
                <w:sz w:val="20"/>
                <w:szCs w:val="20"/>
              </w:rPr>
              <w:t>ta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 dla każdego pozwolenia oddzielnie zapewni prawidłową rejestrację zabezpieczenia w Ogólnopolskim Systemie Zabezpieczeń i Pozwoleń (OSOZ2) i późniejsze jego prawidłowe stosowanie.  </w:t>
            </w:r>
          </w:p>
          <w:p w:rsidR="00DC372C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b/>
                <w:u w:val="single"/>
              </w:rPr>
            </w:pPr>
            <w:r w:rsidRPr="00047C3D">
              <w:rPr>
                <w:rFonts w:ascii="Arial" w:hAnsi="Arial" w:cs="Arial"/>
                <w:b/>
                <w:u w:val="single"/>
              </w:rPr>
              <w:t>Numer GRN i monitorowanie zabezpieczenia generalnego</w:t>
            </w:r>
          </w:p>
          <w:p w:rsidR="00DC372C" w:rsidRPr="0041209A" w:rsidRDefault="00DC372C" w:rsidP="00DC372C">
            <w:pPr>
              <w:spacing w:before="120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 xml:space="preserve">Dla celów obsługi zabezpieczeń celnych przez systemy teleinformatyczne </w:t>
            </w:r>
            <w:r w:rsidR="0002065F" w:rsidRPr="00047C3D">
              <w:rPr>
                <w:rFonts w:ascii="Arial" w:hAnsi="Arial" w:cs="Arial"/>
                <w:sz w:val="20"/>
                <w:szCs w:val="20"/>
              </w:rPr>
              <w:t xml:space="preserve">(System OSOZ2) </w:t>
            </w:r>
            <w:r w:rsidRPr="00047C3D">
              <w:rPr>
                <w:rFonts w:ascii="Arial" w:hAnsi="Arial" w:cs="Arial"/>
                <w:sz w:val="20"/>
                <w:szCs w:val="20"/>
              </w:rPr>
              <w:t xml:space="preserve">zabezpieczeniom celnym będą podczas ich rejestracji w Systemie OSOZ2 nadawane niepowtarzalne 17-to znakowe numery – GRN. </w:t>
            </w:r>
          </w:p>
          <w:p w:rsidR="00BE5A94" w:rsidRPr="00047C3D" w:rsidRDefault="00DC372C" w:rsidP="00DC372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>W okresie przejściowym, tj. od dnia 1 maja 2016 r. do czasu wdrożenia nowego unijnego systemu zarządzania zabezpieczeniami celnymi, monitorowanie zabezpieczenia celnego będzie prowadzone w</w:t>
            </w:r>
            <w:r w:rsidR="00B62B2D" w:rsidRPr="00047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7C3D">
              <w:rPr>
                <w:rFonts w:ascii="Arial" w:hAnsi="Arial" w:cs="Arial"/>
                <w:sz w:val="20"/>
                <w:szCs w:val="20"/>
              </w:rPr>
              <w:t>formie audytu (zabezpieczenia celne do procedury czasowego składowania i procedury składowania celnego) lub w formie saldowania przez System OSOZ2 (dla pozostałych procedur celnych). Nadanie zabezpieczeniom celnym numeru GRN o ustalonej strukturze umożliwi obsługę tych</w:t>
            </w:r>
            <w:r w:rsidR="00B62B2D" w:rsidRPr="00047C3D">
              <w:rPr>
                <w:rFonts w:ascii="Arial" w:hAnsi="Arial" w:cs="Arial"/>
                <w:sz w:val="20"/>
                <w:szCs w:val="20"/>
              </w:rPr>
              <w:t xml:space="preserve"> zabezpieczeń w Systemie OSOZ2.</w:t>
            </w:r>
            <w:r w:rsidR="0041209A" w:rsidRPr="0041209A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</w:p>
          <w:p w:rsidR="007A5C3E" w:rsidRPr="00047C3D" w:rsidRDefault="00152AF2" w:rsidP="0032056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47C3D">
              <w:rPr>
                <w:rFonts w:ascii="Arial" w:hAnsi="Arial" w:cs="Arial"/>
                <w:sz w:val="20"/>
                <w:szCs w:val="20"/>
              </w:rPr>
              <w:t xml:space="preserve">Audyt zabezpieczenia będzie miał na celu przede wszystkim </w:t>
            </w:r>
            <w:r w:rsidRPr="00320565">
              <w:rPr>
                <w:rFonts w:ascii="Arial" w:hAnsi="Arial" w:cs="Arial"/>
                <w:sz w:val="20"/>
                <w:szCs w:val="20"/>
              </w:rPr>
              <w:t>ustalenie</w:t>
            </w:r>
            <w:r w:rsidR="0032056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F214AA" w:rsidRPr="00320565">
              <w:rPr>
                <w:rFonts w:ascii="Arial" w:hAnsi="Arial" w:cs="Arial"/>
                <w:sz w:val="20"/>
                <w:szCs w:val="20"/>
              </w:rPr>
              <w:t>w drodze regularnie przeprowadzanej kontroli po odprawie,</w:t>
            </w:r>
            <w:r w:rsidRPr="00320565">
              <w:rPr>
                <w:rFonts w:ascii="Arial" w:hAnsi="Arial" w:cs="Arial"/>
                <w:sz w:val="20"/>
                <w:szCs w:val="20"/>
              </w:rPr>
              <w:t xml:space="preserve"> czy w każdym czasie kwota </w:t>
            </w:r>
            <w:r w:rsidR="0041209A" w:rsidRPr="00320565">
              <w:rPr>
                <w:rFonts w:ascii="Arial" w:hAnsi="Arial" w:cs="Arial"/>
                <w:sz w:val="20"/>
                <w:szCs w:val="20"/>
              </w:rPr>
              <w:t xml:space="preserve">mogących powstać </w:t>
            </w:r>
            <w:r w:rsidRPr="00320565">
              <w:rPr>
                <w:rFonts w:ascii="Arial" w:hAnsi="Arial" w:cs="Arial"/>
                <w:sz w:val="20"/>
                <w:szCs w:val="20"/>
              </w:rPr>
              <w:t>długów celnych i innych opłat objętych tym zabezpieczeniem nie przekroczyła kwoty referencyjnej tego zabezpieczenia.</w:t>
            </w:r>
            <w:r w:rsidR="00BE5A94" w:rsidRPr="00320565">
              <w:rPr>
                <w:rFonts w:ascii="Arial" w:hAnsi="Arial" w:cs="Arial"/>
                <w:sz w:val="20"/>
                <w:szCs w:val="20"/>
              </w:rPr>
              <w:t xml:space="preserve"> W przypadku zabezpieczeń generalnych monitorowanych w formie saldowania</w:t>
            </w:r>
            <w:r w:rsidR="00F214AA" w:rsidRPr="00320565">
              <w:rPr>
                <w:rFonts w:ascii="Arial" w:hAnsi="Arial" w:cs="Arial"/>
                <w:sz w:val="20"/>
                <w:szCs w:val="20"/>
              </w:rPr>
              <w:t xml:space="preserve"> sprawdzenie to odbywać się będzie na podstawie każdego zgłoszenia celnego, przed zakończeniem odprawy</w:t>
            </w:r>
            <w:r w:rsidR="00BE5A94" w:rsidRPr="0032056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1209A" w:rsidRPr="00320565">
              <w:rPr>
                <w:rFonts w:ascii="Arial" w:hAnsi="Arial" w:cs="Arial"/>
                <w:sz w:val="20"/>
                <w:szCs w:val="20"/>
              </w:rPr>
              <w:t>Kwoty referencyjne ustalone dla poszczególnych operacji celnych/procedur celnych będą rejestrowane w Systemie OSOZ2 oddzielnie i każdej z nich zostanie nadany odrębny numer GRN, co</w:t>
            </w:r>
            <w:r w:rsidR="00326DA5" w:rsidRPr="00320565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="0041209A" w:rsidRPr="00320565">
              <w:rPr>
                <w:rFonts w:ascii="Arial" w:hAnsi="Arial" w:cs="Arial"/>
                <w:sz w:val="20"/>
                <w:szCs w:val="20"/>
              </w:rPr>
              <w:t xml:space="preserve">umożliwi ich saldowanie.   </w:t>
            </w:r>
          </w:p>
        </w:tc>
      </w:tr>
      <w:tr w:rsidR="00DC372C" w:rsidRPr="00590107" w:rsidTr="00C246A7">
        <w:trPr>
          <w:trHeight w:val="1715"/>
        </w:trPr>
        <w:tc>
          <w:tcPr>
            <w:tcW w:w="9322" w:type="dxa"/>
            <w:vAlign w:val="center"/>
          </w:tcPr>
          <w:p w:rsidR="00BA4274" w:rsidRDefault="00432651" w:rsidP="004326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7C1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Dodatkowe informacje: </w:t>
            </w:r>
          </w:p>
          <w:p w:rsidR="00417C1E" w:rsidRDefault="000A1BCF" w:rsidP="00432651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0" w:history="1">
              <w:r w:rsidR="00512E0D" w:rsidRPr="00814012">
                <w:rPr>
                  <w:rStyle w:val="Hipercze"/>
                  <w:rFonts w:ascii="Arial" w:hAnsi="Arial" w:cs="Arial"/>
                  <w:sz w:val="20"/>
                  <w:szCs w:val="20"/>
                </w:rPr>
                <w:t>Tranzyt unijny</w:t>
              </w:r>
              <w:r w:rsidR="00B62B2D" w:rsidRPr="00814012">
                <w:rPr>
                  <w:rStyle w:val="Hipercze"/>
                  <w:rFonts w:ascii="Arial" w:hAnsi="Arial" w:cs="Arial"/>
                  <w:sz w:val="20"/>
                  <w:szCs w:val="20"/>
                </w:rPr>
                <w:t xml:space="preserve"> i tranzyt TIR</w:t>
              </w:r>
            </w:hyperlink>
            <w:r w:rsidR="00512E0D" w:rsidRPr="00BD0E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A4274" w:rsidRDefault="00BA4274" w:rsidP="004326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ECA" w:rsidRPr="00320565" w:rsidRDefault="00BA4274" w:rsidP="00EB46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0565">
              <w:rPr>
                <w:rFonts w:ascii="Arial" w:hAnsi="Arial" w:cs="Arial"/>
                <w:sz w:val="20"/>
                <w:szCs w:val="20"/>
              </w:rPr>
              <w:t>W załączonych plikach przedstawiono</w:t>
            </w:r>
            <w:r w:rsidR="00840ECA" w:rsidRPr="0032056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3141A" w:rsidRPr="00320565" w:rsidRDefault="00840ECA" w:rsidP="00EB46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0565">
              <w:rPr>
                <w:rFonts w:ascii="Arial" w:hAnsi="Arial" w:cs="Arial"/>
                <w:sz w:val="20"/>
                <w:szCs w:val="20"/>
              </w:rPr>
              <w:t>-</w:t>
            </w:r>
            <w:r w:rsidR="00BA4274" w:rsidRPr="00320565">
              <w:rPr>
                <w:rFonts w:ascii="Arial" w:hAnsi="Arial" w:cs="Arial"/>
                <w:sz w:val="20"/>
                <w:szCs w:val="20"/>
              </w:rPr>
              <w:t xml:space="preserve"> wzory an</w:t>
            </w:r>
            <w:r w:rsidR="004A5C57" w:rsidRPr="00320565">
              <w:rPr>
                <w:rFonts w:ascii="Arial" w:hAnsi="Arial" w:cs="Arial"/>
                <w:sz w:val="20"/>
                <w:szCs w:val="20"/>
              </w:rPr>
              <w:t>eks</w:t>
            </w:r>
            <w:r w:rsidRPr="00320565">
              <w:rPr>
                <w:rFonts w:ascii="Arial" w:hAnsi="Arial" w:cs="Arial"/>
                <w:sz w:val="20"/>
                <w:szCs w:val="20"/>
              </w:rPr>
              <w:t>ów</w:t>
            </w:r>
            <w:r w:rsidR="004A5C57" w:rsidRPr="00320565">
              <w:rPr>
                <w:rFonts w:ascii="Arial" w:hAnsi="Arial" w:cs="Arial"/>
                <w:sz w:val="20"/>
                <w:szCs w:val="20"/>
              </w:rPr>
              <w:t xml:space="preserve"> do gwarancji złożonej przed</w:t>
            </w:r>
            <w:r w:rsidR="00BA4274" w:rsidRPr="00320565">
              <w:rPr>
                <w:rFonts w:ascii="Arial" w:hAnsi="Arial" w:cs="Arial"/>
                <w:sz w:val="20"/>
                <w:szCs w:val="20"/>
              </w:rPr>
              <w:t xml:space="preserve"> 1 maja 2016 r.</w:t>
            </w:r>
            <w:r w:rsidRPr="00320565">
              <w:rPr>
                <w:rFonts w:ascii="Arial" w:hAnsi="Arial" w:cs="Arial"/>
                <w:sz w:val="20"/>
                <w:szCs w:val="20"/>
              </w:rPr>
              <w:t xml:space="preserve"> opracowane w Ministerstwie Finansów</w:t>
            </w:r>
            <w:r w:rsidR="00D3141A" w:rsidRPr="00320565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3141A" w:rsidRPr="00320565" w:rsidRDefault="00D3141A" w:rsidP="00EB46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056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40ECA" w:rsidRPr="00320565">
              <w:rPr>
                <w:rFonts w:ascii="Arial" w:hAnsi="Arial" w:cs="Arial"/>
                <w:sz w:val="20"/>
                <w:szCs w:val="20"/>
              </w:rPr>
              <w:t xml:space="preserve">wzór </w:t>
            </w:r>
            <w:r w:rsidRPr="00320565">
              <w:rPr>
                <w:rFonts w:ascii="Arial" w:hAnsi="Arial" w:cs="Arial"/>
                <w:sz w:val="20"/>
                <w:szCs w:val="20"/>
              </w:rPr>
              <w:t xml:space="preserve">aneksów do gwarancji złożonej przed 1 maja 2016 r. </w:t>
            </w:r>
            <w:r w:rsidR="00840ECA" w:rsidRPr="00320565">
              <w:rPr>
                <w:rFonts w:ascii="Arial" w:hAnsi="Arial" w:cs="Arial"/>
                <w:sz w:val="20"/>
                <w:szCs w:val="20"/>
              </w:rPr>
              <w:t xml:space="preserve">opracowany przez Polską Izbę Ubezpieczeń </w:t>
            </w:r>
            <w:r w:rsidRPr="00320565">
              <w:rPr>
                <w:rFonts w:ascii="Arial" w:hAnsi="Arial" w:cs="Arial"/>
                <w:sz w:val="20"/>
                <w:szCs w:val="20"/>
              </w:rPr>
              <w:t>zaaprobowany przez Ministerstwo Finansów,</w:t>
            </w:r>
          </w:p>
          <w:p w:rsidR="00D3141A" w:rsidRPr="00320565" w:rsidRDefault="00D3141A" w:rsidP="00EB46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0565">
              <w:rPr>
                <w:rFonts w:ascii="Arial" w:hAnsi="Arial" w:cs="Arial"/>
                <w:sz w:val="20"/>
                <w:szCs w:val="20"/>
              </w:rPr>
              <w:t>- wzór gwarancji opracowany przez Polską Izbę Ubezpieczeń w oparciu o dotychczas stosowany wzór gwarancji bankowej/ubezpieczeniowej, określający operacje/procedury celne według nowych unijnych przepisów celnych, który może być stosowany w przypadku gwarancji składanych po 1 maja 2016 r. na podstawie „starych” pozwoleń na stosowanie zabezpieczenia generalnego</w:t>
            </w:r>
            <w:r w:rsidR="00A72C69" w:rsidRPr="00320565">
              <w:rPr>
                <w:rFonts w:ascii="Arial" w:hAnsi="Arial" w:cs="Arial"/>
                <w:sz w:val="20"/>
                <w:szCs w:val="20"/>
              </w:rPr>
              <w:t xml:space="preserve"> do czasu wygaśnięcia terminu ich ważności,</w:t>
            </w:r>
            <w:r w:rsidRPr="003205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7A9B" w:rsidRPr="00320565" w:rsidRDefault="00D3141A" w:rsidP="00EB46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056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A4274" w:rsidRPr="00320565">
              <w:rPr>
                <w:rFonts w:ascii="Arial" w:hAnsi="Arial" w:cs="Arial"/>
                <w:sz w:val="20"/>
                <w:szCs w:val="20"/>
              </w:rPr>
              <w:t xml:space="preserve">wzór zobowiązania gwaranta określony w załączniku 32-03 </w:t>
            </w:r>
            <w:r w:rsidR="00DC3336" w:rsidRPr="00320565">
              <w:rPr>
                <w:rFonts w:ascii="Arial" w:hAnsi="Arial" w:cs="Arial"/>
                <w:sz w:val="20"/>
                <w:szCs w:val="20"/>
              </w:rPr>
              <w:t>do rozporządzenia wykonawczego. Wzory aneks</w:t>
            </w:r>
            <w:r w:rsidR="009A7759" w:rsidRPr="00320565">
              <w:rPr>
                <w:rFonts w:ascii="Arial" w:hAnsi="Arial" w:cs="Arial"/>
                <w:sz w:val="20"/>
                <w:szCs w:val="20"/>
              </w:rPr>
              <w:t>u</w:t>
            </w:r>
            <w:r w:rsidR="00DC3336" w:rsidRPr="00320565">
              <w:rPr>
                <w:rFonts w:ascii="Arial" w:hAnsi="Arial" w:cs="Arial"/>
                <w:sz w:val="20"/>
                <w:szCs w:val="20"/>
              </w:rPr>
              <w:t xml:space="preserve"> mają charakter przykładowy, co oznacza możliwość ich dowolnego stosowania w zależności od treści aneksowanej </w:t>
            </w:r>
            <w:r w:rsidR="00D62A62" w:rsidRPr="00320565">
              <w:rPr>
                <w:rFonts w:ascii="Arial" w:hAnsi="Arial" w:cs="Arial"/>
                <w:sz w:val="20"/>
                <w:szCs w:val="20"/>
              </w:rPr>
              <w:t>gwaranc</w:t>
            </w:r>
            <w:r w:rsidR="00517A9B" w:rsidRPr="00320565">
              <w:rPr>
                <w:rFonts w:ascii="Arial" w:hAnsi="Arial" w:cs="Arial"/>
                <w:sz w:val="20"/>
                <w:szCs w:val="20"/>
              </w:rPr>
              <w:t>ji, objętych nią procedur, itp.</w:t>
            </w:r>
          </w:p>
          <w:p w:rsidR="00BD0E9E" w:rsidRPr="00DC3336" w:rsidRDefault="00D62A62" w:rsidP="00432651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  </w:t>
            </w:r>
          </w:p>
          <w:p w:rsidR="002255FD" w:rsidRPr="00590107" w:rsidRDefault="0041209A" w:rsidP="0041209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2251" w:dyaOrig="1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2pt;height:40.8pt" o:ole="">
                  <v:imagedata r:id="rId11" o:title=""/>
                </v:shape>
                <o:OLEObject Type="Embed" ProgID="AcroExch.Document.DC" ShapeID="_x0000_i1025" DrawAspect="Icon" ObjectID="_1524395076" r:id="rId12"/>
              </w:object>
            </w:r>
            <w:r>
              <w:rPr>
                <w:rFonts w:ascii="Arial" w:hAnsi="Arial" w:cs="Arial"/>
                <w:b/>
              </w:rPr>
              <w:object w:dxaOrig="2251" w:dyaOrig="1410">
                <v:shape id="_x0000_i1026" type="#_x0000_t75" style="width:65.4pt;height:40.8pt" o:ole="">
                  <v:imagedata r:id="rId13" o:title=""/>
                </v:shape>
                <o:OLEObject Type="Embed" ProgID="AcroExch.Document.DC" ShapeID="_x0000_i1026" DrawAspect="Icon" ObjectID="_1524395077" r:id="rId14"/>
              </w:object>
            </w:r>
            <w:r>
              <w:rPr>
                <w:rFonts w:ascii="Arial" w:hAnsi="Arial" w:cs="Arial"/>
                <w:b/>
              </w:rPr>
              <w:object w:dxaOrig="2251" w:dyaOrig="1410">
                <v:shape id="_x0000_i1027" type="#_x0000_t75" style="width:69.6pt;height:43.8pt" o:ole="">
                  <v:imagedata r:id="rId15" o:title=""/>
                </v:shape>
                <o:OLEObject Type="Embed" ProgID="AcroExch.Document.DC" ShapeID="_x0000_i1027" DrawAspect="Icon" ObjectID="_1524395078" r:id="rId16"/>
              </w:objec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object w:dxaOrig="1501" w:dyaOrig="940">
                <v:shape id="_x0000_i1028" type="#_x0000_t75" style="width:69.6pt;height:43.8pt" o:ole="">
                  <v:imagedata r:id="rId17" o:title=""/>
                </v:shape>
                <o:OLEObject Type="Embed" ProgID="AcroExch.Document.DC" ShapeID="_x0000_i1028" DrawAspect="Icon" ObjectID="_1524395079" r:id="rId18"/>
              </w:object>
            </w:r>
            <w:r>
              <w:rPr>
                <w:rFonts w:ascii="Arial" w:hAnsi="Arial" w:cs="Arial"/>
                <w:b/>
              </w:rPr>
              <w:object w:dxaOrig="1501" w:dyaOrig="940">
                <v:shape id="_x0000_i1029" type="#_x0000_t75" style="width:67.8pt;height:42.6pt" o:ole="">
                  <v:imagedata r:id="rId19" o:title=""/>
                </v:shape>
                <o:OLEObject Type="Embed" ProgID="AcroExch.Document.DC" ShapeID="_x0000_i1029" DrawAspect="Icon" ObjectID="_1524395080" r:id="rId20"/>
              </w:object>
            </w:r>
            <w:r w:rsidR="009D7A48">
              <w:t xml:space="preserve"> </w:t>
            </w:r>
            <w:r>
              <w:rPr>
                <w:rFonts w:ascii="Arial" w:hAnsi="Arial" w:cs="Arial"/>
                <w:b/>
              </w:rPr>
              <w:object w:dxaOrig="2251" w:dyaOrig="1410">
                <v:shape id="_x0000_i1030" type="#_x0000_t75" style="width:70.8pt;height:43.8pt" o:ole="">
                  <v:imagedata r:id="rId21" o:title=""/>
                </v:shape>
                <o:OLEObject Type="Embed" ProgID="AcroExch.Document.DC" ShapeID="_x0000_i1030" DrawAspect="Icon" ObjectID="_1524395081" r:id="rId22"/>
              </w:object>
            </w:r>
          </w:p>
        </w:tc>
      </w:tr>
      <w:tr w:rsidR="00DC372C" w:rsidRPr="00590107" w:rsidTr="00C246A7">
        <w:trPr>
          <w:trHeight w:val="320"/>
        </w:trPr>
        <w:tc>
          <w:tcPr>
            <w:tcW w:w="9322" w:type="dxa"/>
            <w:vAlign w:val="center"/>
          </w:tcPr>
          <w:p w:rsidR="00DC372C" w:rsidRPr="00047C3D" w:rsidRDefault="00432651" w:rsidP="00D432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7C3D">
              <w:rPr>
                <w:rFonts w:ascii="Arial" w:hAnsi="Arial" w:cs="Arial"/>
                <w:b/>
                <w:sz w:val="20"/>
                <w:szCs w:val="20"/>
              </w:rPr>
              <w:t xml:space="preserve">Data ostatniej aktualizacji: </w:t>
            </w:r>
            <w:r w:rsidR="00D43272">
              <w:rPr>
                <w:rFonts w:ascii="Arial" w:hAnsi="Arial" w:cs="Arial"/>
                <w:sz w:val="20"/>
                <w:szCs w:val="20"/>
              </w:rPr>
              <w:t xml:space="preserve">10 maja </w:t>
            </w:r>
            <w:r w:rsidR="005D7F31" w:rsidRPr="00047C3D">
              <w:rPr>
                <w:rFonts w:ascii="Arial" w:hAnsi="Arial" w:cs="Arial"/>
                <w:sz w:val="20"/>
                <w:szCs w:val="20"/>
              </w:rPr>
              <w:t>2016 r.</w:t>
            </w:r>
          </w:p>
        </w:tc>
      </w:tr>
    </w:tbl>
    <w:p w:rsidR="00B61619" w:rsidRDefault="00B61619"/>
    <w:sectPr w:rsidR="00B61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2C"/>
    <w:rsid w:val="0002065F"/>
    <w:rsid w:val="00047C3D"/>
    <w:rsid w:val="0005537E"/>
    <w:rsid w:val="000A1BCF"/>
    <w:rsid w:val="000A6B24"/>
    <w:rsid w:val="000C33DB"/>
    <w:rsid w:val="000C7731"/>
    <w:rsid w:val="000F75B5"/>
    <w:rsid w:val="00100569"/>
    <w:rsid w:val="00133DB8"/>
    <w:rsid w:val="00152AF2"/>
    <w:rsid w:val="001823F6"/>
    <w:rsid w:val="00183FBD"/>
    <w:rsid w:val="00192397"/>
    <w:rsid w:val="001D1F1E"/>
    <w:rsid w:val="001E5F57"/>
    <w:rsid w:val="002255FD"/>
    <w:rsid w:val="002B4F9D"/>
    <w:rsid w:val="00320565"/>
    <w:rsid w:val="00326DA5"/>
    <w:rsid w:val="00383126"/>
    <w:rsid w:val="003855A6"/>
    <w:rsid w:val="003A0B5D"/>
    <w:rsid w:val="003A595F"/>
    <w:rsid w:val="003C5481"/>
    <w:rsid w:val="003D3D33"/>
    <w:rsid w:val="0041209A"/>
    <w:rsid w:val="00417C1E"/>
    <w:rsid w:val="00432651"/>
    <w:rsid w:val="00473500"/>
    <w:rsid w:val="00493F2E"/>
    <w:rsid w:val="004A5C57"/>
    <w:rsid w:val="005066A4"/>
    <w:rsid w:val="00512E0D"/>
    <w:rsid w:val="00517A9B"/>
    <w:rsid w:val="00556DFB"/>
    <w:rsid w:val="00590107"/>
    <w:rsid w:val="005B5948"/>
    <w:rsid w:val="005C3B12"/>
    <w:rsid w:val="005D7F31"/>
    <w:rsid w:val="005F339F"/>
    <w:rsid w:val="00630D7F"/>
    <w:rsid w:val="00667C6B"/>
    <w:rsid w:val="006976EF"/>
    <w:rsid w:val="006B1E51"/>
    <w:rsid w:val="006D49F5"/>
    <w:rsid w:val="006D6D95"/>
    <w:rsid w:val="006E4ACA"/>
    <w:rsid w:val="007145D5"/>
    <w:rsid w:val="007340F2"/>
    <w:rsid w:val="00735940"/>
    <w:rsid w:val="00752340"/>
    <w:rsid w:val="00773124"/>
    <w:rsid w:val="007A5C3E"/>
    <w:rsid w:val="007B69FD"/>
    <w:rsid w:val="007B6CD4"/>
    <w:rsid w:val="007E4AD9"/>
    <w:rsid w:val="007E74A7"/>
    <w:rsid w:val="00814012"/>
    <w:rsid w:val="00814BF1"/>
    <w:rsid w:val="00814ED1"/>
    <w:rsid w:val="00815315"/>
    <w:rsid w:val="00840ECA"/>
    <w:rsid w:val="008B51EB"/>
    <w:rsid w:val="00941D69"/>
    <w:rsid w:val="009571E2"/>
    <w:rsid w:val="009613DC"/>
    <w:rsid w:val="009856E1"/>
    <w:rsid w:val="00987B1F"/>
    <w:rsid w:val="009A1618"/>
    <w:rsid w:val="009A7759"/>
    <w:rsid w:val="009B581C"/>
    <w:rsid w:val="009D7A48"/>
    <w:rsid w:val="00A72C69"/>
    <w:rsid w:val="00AD0B27"/>
    <w:rsid w:val="00AE33AD"/>
    <w:rsid w:val="00AF3681"/>
    <w:rsid w:val="00B042C6"/>
    <w:rsid w:val="00B15AF5"/>
    <w:rsid w:val="00B41861"/>
    <w:rsid w:val="00B45140"/>
    <w:rsid w:val="00B61619"/>
    <w:rsid w:val="00B62B2D"/>
    <w:rsid w:val="00B71241"/>
    <w:rsid w:val="00B85297"/>
    <w:rsid w:val="00B9766D"/>
    <w:rsid w:val="00BA4274"/>
    <w:rsid w:val="00BD0E9E"/>
    <w:rsid w:val="00BE54D7"/>
    <w:rsid w:val="00BE5A94"/>
    <w:rsid w:val="00BF6F60"/>
    <w:rsid w:val="00C2383A"/>
    <w:rsid w:val="00C246A7"/>
    <w:rsid w:val="00C42EE1"/>
    <w:rsid w:val="00C67EA2"/>
    <w:rsid w:val="00C8206E"/>
    <w:rsid w:val="00D3141A"/>
    <w:rsid w:val="00D43272"/>
    <w:rsid w:val="00D62A62"/>
    <w:rsid w:val="00D85B78"/>
    <w:rsid w:val="00DA0EEF"/>
    <w:rsid w:val="00DB1A36"/>
    <w:rsid w:val="00DC3336"/>
    <w:rsid w:val="00DC372C"/>
    <w:rsid w:val="00DC5D17"/>
    <w:rsid w:val="00E13B49"/>
    <w:rsid w:val="00E45486"/>
    <w:rsid w:val="00E54963"/>
    <w:rsid w:val="00E8214C"/>
    <w:rsid w:val="00EB46E1"/>
    <w:rsid w:val="00EE0474"/>
    <w:rsid w:val="00EF652F"/>
    <w:rsid w:val="00F214AA"/>
    <w:rsid w:val="00F36686"/>
    <w:rsid w:val="00F65194"/>
    <w:rsid w:val="00F659F4"/>
    <w:rsid w:val="00F825B1"/>
    <w:rsid w:val="00FB6B6E"/>
    <w:rsid w:val="00FD3834"/>
    <w:rsid w:val="00FD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DC372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06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4A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DC372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06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4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PL/TXT/?uri=uriserv:OJ.L_.2015.343.01.0558.01.POL&amp;toc=OJ:L:2015:343:TOC" TargetMode="External"/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21" Type="http://schemas.openxmlformats.org/officeDocument/2006/relationships/image" Target="media/image6.emf"/><Relationship Id="rId7" Type="http://schemas.openxmlformats.org/officeDocument/2006/relationships/hyperlink" Target="http://eur-lex.europa.eu/legal-content/PL/TXT/?uri=uriserv:OJ.L_.2015.343.01.0001.01.POL&amp;toc=OJ:L:2015:343:TOC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hyperlink" Target="http://eur-lex.europa.eu/legal-content/PL/TXT/?qid=1445946939880&amp;uri=CELEX:32013R0952" TargetMode="Externa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hyperlink" Target="http://www.finanse.mf.gov.pl/documents/766655/42edcd4f-5938-4b6a-9077-2cebe5a8057b" TargetMode="Externa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http://www.finanse.mf.gov.pl/documents/766655/42edcd4f-5938-4b6a-9077-2cebe5a8057b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B06B7-678A-4451-804C-830736EB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2213</Words>
  <Characters>13284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Filipowicz-Mercer Kinga</dc:creator>
  <cp:lastModifiedBy>Filipowicz-Mercer Kinga</cp:lastModifiedBy>
  <cp:revision>2</cp:revision>
  <dcterms:created xsi:type="dcterms:W3CDTF">2016-05-10T12:18:00Z</dcterms:created>
  <dcterms:modified xsi:type="dcterms:W3CDTF">2016-05-10T12:18:00Z</dcterms:modified>
</cp:coreProperties>
</file>