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35" w:rsidRDefault="00970591" w:rsidP="00F96335">
      <w:pPr>
        <w:pStyle w:val="NormalnyWeb"/>
        <w:spacing w:after="0" w:afterAutospacing="0" w:line="360" w:lineRule="auto"/>
        <w:outlineLvl w:val="0"/>
        <w:rPr>
          <w:rFonts w:ascii="Arial" w:hAnsi="Arial" w:cs="Arial"/>
          <w:b/>
          <w:color w:val="808080"/>
          <w:sz w:val="36"/>
          <w:szCs w:val="36"/>
        </w:rPr>
      </w:pPr>
      <w:r>
        <w:rPr>
          <w:noProof/>
          <w:lang w:eastAsia="pl-PL"/>
        </w:rPr>
        <w:drawing>
          <wp:anchor distT="0" distB="0" distL="114300" distR="114300" simplePos="0" relativeHeight="251659264" behindDoc="1" locked="0" layoutInCell="1" allowOverlap="1" wp14:anchorId="0B585002" wp14:editId="56021F09">
            <wp:simplePos x="0" y="0"/>
            <wp:positionH relativeFrom="column">
              <wp:posOffset>-918210</wp:posOffset>
            </wp:positionH>
            <wp:positionV relativeFrom="paragraph">
              <wp:posOffset>-907415</wp:posOffset>
            </wp:positionV>
            <wp:extent cx="944880" cy="10695305"/>
            <wp:effectExtent l="0" t="0" r="7620" b="0"/>
            <wp:wrapNone/>
            <wp:docPr id="1" name="Picture 7" descr="pas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ek.jpg"/>
                    <pic:cNvPicPr>
                      <a:picLocks noChangeAspect="1" noChangeArrowheads="1"/>
                    </pic:cNvPicPr>
                  </pic:nvPicPr>
                  <pic:blipFill>
                    <a:blip r:embed="rId9"/>
                    <a:srcRect/>
                    <a:stretch>
                      <a:fillRect/>
                    </a:stretch>
                  </pic:blipFill>
                  <pic:spPr bwMode="auto">
                    <a:xfrm>
                      <a:off x="0" y="0"/>
                      <a:ext cx="944880" cy="10695305"/>
                    </a:xfrm>
                    <a:prstGeom prst="rect">
                      <a:avLst/>
                    </a:prstGeom>
                    <a:noFill/>
                    <a:ln w="9525">
                      <a:noFill/>
                      <a:miter lim="800000"/>
                      <a:headEnd/>
                      <a:tailEnd/>
                    </a:ln>
                  </pic:spPr>
                </pic:pic>
              </a:graphicData>
            </a:graphic>
          </wp:anchor>
        </w:drawing>
      </w:r>
      <w:r w:rsidR="00DB62BD">
        <w:rPr>
          <w:noProof/>
          <w:lang w:eastAsia="pl-PL"/>
        </w:rPr>
        <w:drawing>
          <wp:anchor distT="0" distB="0" distL="114300" distR="114300" simplePos="0" relativeHeight="251661312" behindDoc="1" locked="0" layoutInCell="1" allowOverlap="1" wp14:anchorId="0E3CE9B6" wp14:editId="51DEAB2E">
            <wp:simplePos x="0" y="0"/>
            <wp:positionH relativeFrom="column">
              <wp:posOffset>577575</wp:posOffset>
            </wp:positionH>
            <wp:positionV relativeFrom="paragraph">
              <wp:posOffset>-194945</wp:posOffset>
            </wp:positionV>
            <wp:extent cx="1583690" cy="960755"/>
            <wp:effectExtent l="0" t="0" r="0" b="0"/>
            <wp:wrapNone/>
            <wp:docPr id="9" name="Obraz 9" descr="G:\KAS\oryginalne _2_3_KAS pisma\KAS-pion-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KAS\oryginalne _2_3_KAS pisma\KAS-pion-kolor.png"/>
                    <pic:cNvPicPr>
                      <a:picLocks noChangeAspect="1" noChangeArrowheads="1"/>
                    </pic:cNvPicPr>
                  </pic:nvPicPr>
                  <pic:blipFill>
                    <a:blip r:embed="rId10" cstate="print"/>
                    <a:srcRect/>
                    <a:stretch>
                      <a:fillRect/>
                    </a:stretch>
                  </pic:blipFill>
                  <pic:spPr bwMode="auto">
                    <a:xfrm>
                      <a:off x="0" y="0"/>
                      <a:ext cx="1583690" cy="960755"/>
                    </a:xfrm>
                    <a:prstGeom prst="rect">
                      <a:avLst/>
                    </a:prstGeom>
                    <a:noFill/>
                    <a:ln w="9525">
                      <a:noFill/>
                      <a:miter lim="800000"/>
                      <a:headEnd/>
                      <a:tailEnd/>
                    </a:ln>
                  </pic:spPr>
                </pic:pic>
              </a:graphicData>
            </a:graphic>
          </wp:anchor>
        </w:drawing>
      </w:r>
    </w:p>
    <w:p w:rsidR="00F96335" w:rsidRDefault="00DB62BD" w:rsidP="00F96335">
      <w:pPr>
        <w:pStyle w:val="NormalnyWeb"/>
        <w:spacing w:after="0" w:afterAutospacing="0" w:line="360" w:lineRule="auto"/>
        <w:outlineLvl w:val="0"/>
        <w:rPr>
          <w:rFonts w:ascii="Arial" w:hAnsi="Arial" w:cs="Arial"/>
          <w:b/>
          <w:color w:val="808080"/>
          <w:sz w:val="36"/>
          <w:szCs w:val="36"/>
        </w:rPr>
      </w:pPr>
      <w:r>
        <w:rPr>
          <w:rFonts w:ascii="Arial" w:hAnsi="Arial" w:cs="Arial"/>
          <w:b/>
          <w:noProof/>
          <w:color w:val="ADAFB2"/>
          <w:sz w:val="40"/>
          <w:szCs w:val="40"/>
          <w:lang w:eastAsia="pl-PL"/>
        </w:rPr>
        <mc:AlternateContent>
          <mc:Choice Requires="wps">
            <w:drawing>
              <wp:anchor distT="0" distB="0" distL="114300" distR="114300" simplePos="0" relativeHeight="251665408" behindDoc="0" locked="0" layoutInCell="1" allowOverlap="1" wp14:anchorId="6659E929" wp14:editId="2252C7DA">
                <wp:simplePos x="0" y="0"/>
                <wp:positionH relativeFrom="column">
                  <wp:posOffset>582295</wp:posOffset>
                </wp:positionH>
                <wp:positionV relativeFrom="paragraph">
                  <wp:posOffset>501015</wp:posOffset>
                </wp:positionV>
                <wp:extent cx="2391410" cy="561340"/>
                <wp:effectExtent l="0" t="0" r="889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BD" w:rsidRDefault="00DB62BD" w:rsidP="006F6F1B">
                            <w:pPr>
                              <w:spacing w:after="0" w:line="240" w:lineRule="auto"/>
                              <w:rPr>
                                <w:rFonts w:ascii="Arial" w:hAnsi="Arial" w:cs="Arial"/>
                                <w:color w:val="7F7F7F"/>
                                <w:sz w:val="24"/>
                                <w:szCs w:val="24"/>
                              </w:rPr>
                            </w:pPr>
                            <w:r>
                              <w:rPr>
                                <w:rFonts w:ascii="Arial" w:hAnsi="Arial" w:cs="Arial"/>
                                <w:color w:val="7F7F7F"/>
                                <w:sz w:val="24"/>
                                <w:szCs w:val="24"/>
                              </w:rPr>
                              <w:t>Ministerstwo Finansów</w:t>
                            </w:r>
                          </w:p>
                          <w:p w:rsidR="006F6F1B" w:rsidRPr="009A76EB" w:rsidRDefault="006F6F1B" w:rsidP="006F6F1B">
                            <w:pPr>
                              <w:spacing w:after="0" w:line="240" w:lineRule="auto"/>
                              <w:rPr>
                                <w:rFonts w:ascii="Arial" w:hAnsi="Arial" w:cs="Arial"/>
                                <w:color w:val="7F7F7F"/>
                                <w:sz w:val="24"/>
                                <w:szCs w:val="24"/>
                              </w:rPr>
                            </w:pPr>
                            <w:r>
                              <w:rPr>
                                <w:rFonts w:ascii="Arial" w:hAnsi="Arial" w:cs="Arial"/>
                                <w:color w:val="7F7F7F"/>
                                <w:sz w:val="24"/>
                                <w:szCs w:val="24"/>
                              </w:rPr>
                              <w:t>Departament Ceł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85pt;margin-top:39.45pt;width:188.3pt;height:4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ELrw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oJm9EsCeMQjko4my/CWexa55N0ut0pbT5Q2SJr&#10;ZFhB5x06OdxpY9mQdHKxwYQsGOeu+1y82ADHcQdiw1V7Zlm4Zj4lQbJZbpaxF0eLjRcHee7dFOvY&#10;WxTh5Tyf5et1Hv6yccM4bVhVUWHDTMIK4z9r3FHioyRO0tKSs8rCWUpa7bZrrtCBgLAL97maw8nZ&#10;zX9JwxUBcnmVUhjFwW2UeMVieenFRTz3kstg6QVhcpssgjiJ8+JlSndM0H9PCfUZTubRfBTTmfSr&#10;3AL3vc2NpC0zMDo4azO8PDmR1EpwIyrXWkMYH+1npbD0z6WAdk+NdoK1Gh3VaobtAChWxVtZPYJ0&#10;lQRlgQhh3oHRSPUTox5mR4b1jz1RFCP+UYD87aCZDDUZ28kgooSrGTYYjebajANp3ym2awB5fGBC&#10;3sATqZlT75nF8WHBPHBJHGeXHTjP/53XecKufgMAAP//AwBQSwMEFAAGAAgAAAAhAAWVO7bfAAAA&#10;CQEAAA8AAABkcnMvZG93bnJldi54bWxMj8tOwzAQRfdI/IM1SOyoU4ryIk5VIVghIdKwYOkk08Rq&#10;PA6x24a/Z1jBcnSP7j1TbBc7ijPO3jhSsF5FIJBa1xnqFXzUL3cpCB80dXp0hAq+0cO2vL4qdN65&#10;C1V43odecAn5XCsYQphyKX07oNV+5SYkzg5utjrwOfeym/WFy+0o76MollYb4oVBT/g0YHvcn6yC&#10;3SdVz+brrXmvDpWp6yyi1/io1O3NsnsEEXAJfzD86rM6lOzUuBN1XowKsnXCpIIkzUBw/hCnGxAN&#10;g3GyAVkW8v8H5Q8AAAD//wMAUEsBAi0AFAAGAAgAAAAhALaDOJL+AAAA4QEAABMAAAAAAAAAAAAA&#10;AAAAAAAAAFtDb250ZW50X1R5cGVzXS54bWxQSwECLQAUAAYACAAAACEAOP0h/9YAAACUAQAACwAA&#10;AAAAAAAAAAAAAAAvAQAAX3JlbHMvLnJlbHNQSwECLQAUAAYACAAAACEA374BC68CAACpBQAADgAA&#10;AAAAAAAAAAAAAAAuAgAAZHJzL2Uyb0RvYy54bWxQSwECLQAUAAYACAAAACEABZU7tt8AAAAJAQAA&#10;DwAAAAAAAAAAAAAAAAAJBQAAZHJzL2Rvd25yZXYueG1sUEsFBgAAAAAEAAQA8wAAABUGAAAAAA==&#10;" filled="f" stroked="f">
                <v:textbox inset="0,0,0,0">
                  <w:txbxContent>
                    <w:p w:rsidR="00DB62BD" w:rsidRDefault="00DB62BD" w:rsidP="006F6F1B">
                      <w:pPr>
                        <w:spacing w:after="0" w:line="240" w:lineRule="auto"/>
                        <w:rPr>
                          <w:rFonts w:ascii="Arial" w:hAnsi="Arial" w:cs="Arial"/>
                          <w:color w:val="7F7F7F"/>
                          <w:sz w:val="24"/>
                          <w:szCs w:val="24"/>
                        </w:rPr>
                      </w:pPr>
                      <w:r>
                        <w:rPr>
                          <w:rFonts w:ascii="Arial" w:hAnsi="Arial" w:cs="Arial"/>
                          <w:color w:val="7F7F7F"/>
                          <w:sz w:val="24"/>
                          <w:szCs w:val="24"/>
                        </w:rPr>
                        <w:t>Ministerstwo Finansów</w:t>
                      </w:r>
                    </w:p>
                    <w:p w:rsidR="006F6F1B" w:rsidRPr="009A76EB" w:rsidRDefault="006F6F1B" w:rsidP="006F6F1B">
                      <w:pPr>
                        <w:spacing w:after="0" w:line="240" w:lineRule="auto"/>
                        <w:rPr>
                          <w:rFonts w:ascii="Arial" w:hAnsi="Arial" w:cs="Arial"/>
                          <w:color w:val="7F7F7F"/>
                          <w:sz w:val="24"/>
                          <w:szCs w:val="24"/>
                        </w:rPr>
                      </w:pPr>
                      <w:r>
                        <w:rPr>
                          <w:rFonts w:ascii="Arial" w:hAnsi="Arial" w:cs="Arial"/>
                          <w:color w:val="7F7F7F"/>
                          <w:sz w:val="24"/>
                          <w:szCs w:val="24"/>
                        </w:rPr>
                        <w:t>Departament Ceł</w:t>
                      </w:r>
                    </w:p>
                  </w:txbxContent>
                </v:textbox>
              </v:shape>
            </w:pict>
          </mc:Fallback>
        </mc:AlternateContent>
      </w:r>
      <w:r>
        <w:rPr>
          <w:rFonts w:ascii="Arial" w:hAnsi="Arial" w:cs="Arial"/>
          <w:b/>
          <w:noProof/>
          <w:color w:val="ADAFB2"/>
          <w:sz w:val="40"/>
          <w:szCs w:val="40"/>
          <w:lang w:eastAsia="pl-PL"/>
        </w:rPr>
        <mc:AlternateContent>
          <mc:Choice Requires="wps">
            <w:drawing>
              <wp:anchor distT="0" distB="0" distL="114300" distR="114300" simplePos="0" relativeHeight="251663360" behindDoc="0" locked="0" layoutInCell="1" allowOverlap="1" wp14:anchorId="5CC9B6A2" wp14:editId="417046C8">
                <wp:simplePos x="0" y="0"/>
                <wp:positionH relativeFrom="column">
                  <wp:posOffset>574722</wp:posOffset>
                </wp:positionH>
                <wp:positionV relativeFrom="paragraph">
                  <wp:posOffset>415290</wp:posOffset>
                </wp:positionV>
                <wp:extent cx="1142365" cy="0"/>
                <wp:effectExtent l="0" t="0" r="1968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2365" cy="0"/>
                        </a:xfrm>
                        <a:prstGeom prst="straightConnector1">
                          <a:avLst/>
                        </a:prstGeom>
                        <a:noFill/>
                        <a:ln w="6350">
                          <a:solidFill>
                            <a:srgbClr val="C9CA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25pt;margin-top:32.7pt;width:89.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3QIQIAADsEAAAOAAAAZHJzL2Uyb0RvYy54bWysU9uO2jAQfa/Uf7D8DrkQKESEFUqgL9su&#10;0m4/wNhOYjWxLdsQUNV/79hcxLYvVdUXZ5yZOXNm5nj5dOo7dOTGCiULnIxjjLikignZFPjb23Y0&#10;x8g6IhnplOQFPnOLn1YfPywHnfNUtapj3CAAkTYfdIFb53QeRZa2vCd2rDSX4KyV6YmDq2kiZsgA&#10;6H0XpXE8iwZlmDaKcmvhb3Vx4lXAr2tO3UtdW+5QV2Dg5sJpwrn3Z7RakrwxRLeCXmmQf2DREyGh&#10;6B2qIo6ggxF/QPWCGmVV7cZU9ZGqa0F56AG6SeLfunltieahFxiO1fcx2f8HS78edwYJVuAUI0l6&#10;WNH64FSojFI/nkHbHKJKuTO+QXqSr/pZ0e8WSVW2RDY8BL+dNeQmPiN6l+IvVkOR/fBFMYghgB9m&#10;dapN7yFhCugUVnK+r4SfHKLwM0mydDKbYkRvvojkt0RtrPvMVY+8UWDrDBFN60olJSxemSSUIcdn&#10;6zwtkt8SfFWptqLrwv47iYYCzybTOCRY1QnmnT7MmmZfdgYdCSioXJTrsgw9gucxzKiDZAGs5YRt&#10;rrYjorvYULyTHg8aAzpX6yKRH4t4sZlv5tkoS2ebURZX1Wi9LbPRbJt8mlaTqiyr5KenlmR5Kxjj&#10;0rO7yTXJ/k4O14dzEdpdsPcxRO/Rw7yA7O0bSIfN+mVeZLFX7Lwzt42DQkPw9TX5J/B4B/vxza9+&#10;AQAA//8DAFBLAwQUAAYACAAAACEASIDkUt8AAAAIAQAADwAAAGRycy9kb3ducmV2LnhtbEyPQUvD&#10;QBCF74L/YRnBi7S7LbbVmE0RUYoULG31vsmOSTA7G7KbJvrrHfGgt5l5jzffS9eja8QJu1B70jCb&#10;KhBIhbc1lRpej0+TGxAhGrKm8YQaPjHAOjs/S01i/UB7PB1iKTiEQmI0VDG2iZShqNCZMPUtEmvv&#10;vnMm8tqV0nZm4HDXyLlSS+lMTfyhMi0+VFh8HHqnYe92q+eh2mzH3ewt33y99OaxuNL68mK8vwMR&#10;cYx/ZvjBZ3TImCn3PdkgGg23asFODcvFNQjW5yvFQ/57kFkq/xfIvgEAAP//AwBQSwECLQAUAAYA&#10;CAAAACEAtoM4kv4AAADhAQAAEwAAAAAAAAAAAAAAAAAAAAAAW0NvbnRlbnRfVHlwZXNdLnhtbFBL&#10;AQItABQABgAIAAAAIQA4/SH/1gAAAJQBAAALAAAAAAAAAAAAAAAAAC8BAABfcmVscy8ucmVsc1BL&#10;AQItABQABgAIAAAAIQAqaP3QIQIAADsEAAAOAAAAAAAAAAAAAAAAAC4CAABkcnMvZTJvRG9jLnht&#10;bFBLAQItABQABgAIAAAAIQBIgORS3wAAAAgBAAAPAAAAAAAAAAAAAAAAAHsEAABkcnMvZG93bnJl&#10;di54bWxQSwUGAAAAAAQABADzAAAAhwUAAAAA&#10;" strokecolor="#c9cacc" strokeweight=".5pt"/>
            </w:pict>
          </mc:Fallback>
        </mc:AlternateContent>
      </w:r>
    </w:p>
    <w:p w:rsidR="00F96335" w:rsidRDefault="00F96335" w:rsidP="00F96335">
      <w:pPr>
        <w:pStyle w:val="NormalnyWeb"/>
        <w:spacing w:after="0" w:afterAutospacing="0" w:line="360" w:lineRule="auto"/>
        <w:jc w:val="center"/>
        <w:outlineLvl w:val="0"/>
        <w:rPr>
          <w:rFonts w:ascii="Arial" w:hAnsi="Arial" w:cs="Arial"/>
          <w:b/>
          <w:color w:val="808080"/>
          <w:sz w:val="36"/>
          <w:szCs w:val="36"/>
        </w:rPr>
      </w:pPr>
    </w:p>
    <w:p w:rsidR="00F96335" w:rsidRDefault="00F96335" w:rsidP="00DB62BD">
      <w:pPr>
        <w:pStyle w:val="NormalnyWeb"/>
        <w:spacing w:after="0" w:afterAutospacing="0" w:line="360" w:lineRule="auto"/>
        <w:ind w:left="708"/>
        <w:jc w:val="center"/>
        <w:outlineLvl w:val="0"/>
        <w:rPr>
          <w:b/>
          <w:sz w:val="36"/>
          <w:szCs w:val="36"/>
        </w:rPr>
      </w:pPr>
      <w:r>
        <w:rPr>
          <w:rFonts w:ascii="Arial" w:hAnsi="Arial" w:cs="Arial"/>
          <w:b/>
          <w:color w:val="808080"/>
          <w:sz w:val="36"/>
          <w:szCs w:val="36"/>
        </w:rPr>
        <w:t>WYTYCZNE</w:t>
      </w:r>
    </w:p>
    <w:p w:rsidR="00F96335" w:rsidRDefault="00F96335" w:rsidP="00F96335">
      <w:pPr>
        <w:spacing w:line="360" w:lineRule="auto"/>
        <w:rPr>
          <w:rFonts w:ascii="Arial" w:hAnsi="Arial" w:cs="Arial"/>
          <w:b/>
          <w:i/>
          <w:color w:val="00853F"/>
          <w:sz w:val="36"/>
          <w:szCs w:val="36"/>
        </w:rPr>
      </w:pPr>
    </w:p>
    <w:p w:rsidR="008F5AA6" w:rsidRDefault="00D44505" w:rsidP="008F5AA6">
      <w:pPr>
        <w:spacing w:after="0"/>
        <w:jc w:val="center"/>
        <w:rPr>
          <w:rFonts w:ascii="Arial" w:eastAsia="Cambria" w:hAnsi="Arial" w:cs="Arial"/>
          <w:b/>
          <w:i/>
          <w:color w:val="FF0000"/>
          <w:sz w:val="36"/>
          <w:szCs w:val="36"/>
        </w:rPr>
      </w:pPr>
      <w:r w:rsidRPr="00D44505">
        <w:rPr>
          <w:rFonts w:ascii="Arial" w:eastAsia="Cambria" w:hAnsi="Arial" w:cs="Arial"/>
          <w:b/>
          <w:i/>
          <w:color w:val="FF0000"/>
          <w:sz w:val="36"/>
          <w:szCs w:val="36"/>
        </w:rPr>
        <w:t>Pozwolenie na uproszczone</w:t>
      </w:r>
      <w:r w:rsidR="008F5AA6">
        <w:rPr>
          <w:rFonts w:ascii="Arial" w:eastAsia="Cambria" w:hAnsi="Arial" w:cs="Arial"/>
          <w:b/>
          <w:i/>
          <w:color w:val="FF0000"/>
          <w:sz w:val="36"/>
          <w:szCs w:val="36"/>
        </w:rPr>
        <w:t xml:space="preserve"> </w:t>
      </w:r>
      <w:r w:rsidRPr="00D44505">
        <w:rPr>
          <w:rFonts w:ascii="Arial" w:eastAsia="Cambria" w:hAnsi="Arial" w:cs="Arial"/>
          <w:b/>
          <w:i/>
          <w:color w:val="FF0000"/>
          <w:sz w:val="36"/>
          <w:szCs w:val="36"/>
        </w:rPr>
        <w:t xml:space="preserve">określanie </w:t>
      </w:r>
    </w:p>
    <w:p w:rsidR="008F5AA6" w:rsidRDefault="00D44505" w:rsidP="008F5AA6">
      <w:pPr>
        <w:spacing w:after="0"/>
        <w:jc w:val="center"/>
        <w:rPr>
          <w:rFonts w:ascii="Arial" w:eastAsia="Cambria" w:hAnsi="Arial" w:cs="Arial"/>
          <w:b/>
          <w:i/>
          <w:color w:val="FF0000"/>
          <w:sz w:val="36"/>
          <w:szCs w:val="36"/>
        </w:rPr>
      </w:pPr>
      <w:proofErr w:type="gramStart"/>
      <w:r w:rsidRPr="00D44505">
        <w:rPr>
          <w:rFonts w:ascii="Arial" w:eastAsia="Cambria" w:hAnsi="Arial" w:cs="Arial"/>
          <w:b/>
          <w:i/>
          <w:color w:val="FF0000"/>
          <w:sz w:val="36"/>
          <w:szCs w:val="36"/>
        </w:rPr>
        <w:t>elementów</w:t>
      </w:r>
      <w:proofErr w:type="gramEnd"/>
      <w:r w:rsidRPr="00D44505">
        <w:rPr>
          <w:rFonts w:ascii="Arial" w:eastAsia="Cambria" w:hAnsi="Arial" w:cs="Arial"/>
          <w:b/>
          <w:i/>
          <w:color w:val="FF0000"/>
          <w:sz w:val="36"/>
          <w:szCs w:val="36"/>
        </w:rPr>
        <w:t xml:space="preserve"> wartości celnej towarów</w:t>
      </w:r>
      <w:r w:rsidR="008F5AA6">
        <w:rPr>
          <w:rFonts w:ascii="Arial" w:eastAsia="Cambria" w:hAnsi="Arial" w:cs="Arial"/>
          <w:b/>
          <w:i/>
          <w:color w:val="FF0000"/>
          <w:sz w:val="36"/>
          <w:szCs w:val="36"/>
        </w:rPr>
        <w:t xml:space="preserve"> </w:t>
      </w:r>
    </w:p>
    <w:p w:rsidR="00D44505" w:rsidRPr="00D44505" w:rsidRDefault="00D44505" w:rsidP="008F5AA6">
      <w:pPr>
        <w:spacing w:after="0"/>
        <w:jc w:val="center"/>
        <w:rPr>
          <w:rFonts w:ascii="Arial" w:eastAsia="Cambria" w:hAnsi="Arial" w:cs="Arial"/>
          <w:b/>
          <w:i/>
          <w:color w:val="FF0000"/>
          <w:sz w:val="36"/>
          <w:szCs w:val="36"/>
        </w:rPr>
      </w:pPr>
      <w:r w:rsidRPr="00D44505">
        <w:rPr>
          <w:rFonts w:ascii="Arial" w:eastAsia="Cambria" w:hAnsi="Arial" w:cs="Arial"/>
          <w:b/>
          <w:i/>
          <w:color w:val="FF0000"/>
          <w:sz w:val="36"/>
          <w:szCs w:val="36"/>
        </w:rPr>
        <w:t>(art. 73 unijnego kodeksu celnego)</w:t>
      </w:r>
    </w:p>
    <w:p w:rsidR="00F96335" w:rsidRDefault="00F96335" w:rsidP="008F5AA6">
      <w:pPr>
        <w:spacing w:line="360" w:lineRule="auto"/>
        <w:jc w:val="center"/>
        <w:rPr>
          <w:rFonts w:ascii="Arial" w:hAnsi="Arial" w:cs="Arial"/>
          <w:b/>
          <w:i/>
          <w:color w:val="00853F"/>
          <w:sz w:val="36"/>
          <w:szCs w:val="36"/>
        </w:rPr>
      </w:pPr>
    </w:p>
    <w:p w:rsidR="00F96335" w:rsidRDefault="00F96335" w:rsidP="00F96335">
      <w:pPr>
        <w:widowControl w:val="0"/>
        <w:autoSpaceDE w:val="0"/>
        <w:autoSpaceDN w:val="0"/>
        <w:adjustRightInd w:val="0"/>
        <w:spacing w:after="0" w:line="360" w:lineRule="auto"/>
        <w:rPr>
          <w:rFonts w:ascii="Arial" w:hAnsi="Arial" w:cs="Arial"/>
          <w:b/>
          <w:sz w:val="32"/>
          <w:szCs w:val="32"/>
        </w:rPr>
      </w:pPr>
    </w:p>
    <w:p w:rsidR="00F96335" w:rsidRDefault="00F96335" w:rsidP="00F96335">
      <w:pPr>
        <w:widowControl w:val="0"/>
        <w:autoSpaceDE w:val="0"/>
        <w:autoSpaceDN w:val="0"/>
        <w:adjustRightInd w:val="0"/>
        <w:spacing w:after="0" w:line="360" w:lineRule="auto"/>
        <w:rPr>
          <w:rFonts w:ascii="Arial" w:hAnsi="Arial" w:cs="Arial"/>
          <w:b/>
          <w:sz w:val="32"/>
          <w:szCs w:val="32"/>
        </w:rPr>
      </w:pPr>
    </w:p>
    <w:p w:rsidR="00F96335" w:rsidRDefault="00F96335" w:rsidP="00DB62BD">
      <w:pPr>
        <w:widowControl w:val="0"/>
        <w:autoSpaceDE w:val="0"/>
        <w:autoSpaceDN w:val="0"/>
        <w:adjustRightInd w:val="0"/>
        <w:spacing w:after="0" w:line="360" w:lineRule="auto"/>
        <w:ind w:left="708"/>
        <w:jc w:val="center"/>
        <w:rPr>
          <w:rFonts w:ascii="Arial" w:hAnsi="Arial" w:cs="Arial"/>
          <w:b/>
          <w:sz w:val="32"/>
          <w:szCs w:val="32"/>
        </w:rPr>
      </w:pPr>
      <w:r w:rsidRPr="00357460">
        <w:rPr>
          <w:rFonts w:ascii="Arial" w:hAnsi="Arial" w:cs="Arial"/>
          <w:color w:val="ADAFB2"/>
          <w:sz w:val="40"/>
          <w:szCs w:val="40"/>
        </w:rPr>
        <w:br/>
      </w:r>
    </w:p>
    <w:p w:rsidR="00F96335" w:rsidRDefault="00F96335" w:rsidP="00F96335">
      <w:pPr>
        <w:widowControl w:val="0"/>
        <w:autoSpaceDE w:val="0"/>
        <w:autoSpaceDN w:val="0"/>
        <w:adjustRightInd w:val="0"/>
        <w:spacing w:after="0" w:line="360" w:lineRule="auto"/>
        <w:jc w:val="center"/>
        <w:rPr>
          <w:rFonts w:ascii="Arial" w:hAnsi="Arial" w:cs="Arial"/>
          <w:b/>
          <w:sz w:val="32"/>
          <w:szCs w:val="32"/>
        </w:rPr>
      </w:pPr>
    </w:p>
    <w:p w:rsidR="00F53EB9" w:rsidRPr="00D865B6" w:rsidRDefault="00F53EB9" w:rsidP="00F96335">
      <w:pPr>
        <w:widowControl w:val="0"/>
        <w:autoSpaceDE w:val="0"/>
        <w:autoSpaceDN w:val="0"/>
        <w:adjustRightInd w:val="0"/>
        <w:spacing w:after="0" w:line="360" w:lineRule="auto"/>
        <w:jc w:val="center"/>
        <w:rPr>
          <w:rFonts w:ascii="Arial" w:hAnsi="Arial" w:cs="Arial"/>
          <w:b/>
          <w:sz w:val="32"/>
          <w:szCs w:val="32"/>
        </w:rPr>
      </w:pPr>
    </w:p>
    <w:p w:rsidR="00F96335" w:rsidRPr="00DB62BD" w:rsidRDefault="00F96335" w:rsidP="00DB62BD">
      <w:pPr>
        <w:spacing w:line="360" w:lineRule="auto"/>
        <w:ind w:left="708"/>
        <w:jc w:val="center"/>
        <w:outlineLvl w:val="0"/>
        <w:rPr>
          <w:rFonts w:ascii="Arial" w:hAnsi="Arial" w:cs="Arial"/>
          <w:color w:val="808080" w:themeColor="background1" w:themeShade="80"/>
          <w:sz w:val="24"/>
          <w:szCs w:val="24"/>
        </w:rPr>
      </w:pPr>
      <w:r w:rsidRPr="00DB62BD">
        <w:rPr>
          <w:rFonts w:ascii="Arial" w:hAnsi="Arial" w:cs="Arial"/>
          <w:b/>
          <w:color w:val="808080" w:themeColor="background1" w:themeShade="80"/>
          <w:sz w:val="24"/>
          <w:szCs w:val="24"/>
        </w:rPr>
        <w:t xml:space="preserve">Wersja: </w:t>
      </w:r>
      <w:r w:rsidR="00571BEE">
        <w:rPr>
          <w:rFonts w:ascii="Arial" w:hAnsi="Arial" w:cs="Arial"/>
          <w:b/>
          <w:color w:val="808080" w:themeColor="background1" w:themeShade="80"/>
          <w:sz w:val="24"/>
          <w:szCs w:val="24"/>
        </w:rPr>
        <w:t xml:space="preserve"> 1.4 </w:t>
      </w:r>
    </w:p>
    <w:p w:rsidR="00F96335" w:rsidRDefault="00F96335" w:rsidP="00F96335">
      <w:pPr>
        <w:pStyle w:val="NormalnyWeb"/>
        <w:spacing w:after="0" w:afterAutospacing="0" w:line="360" w:lineRule="auto"/>
        <w:outlineLvl w:val="0"/>
        <w:rPr>
          <w:b/>
          <w:sz w:val="36"/>
          <w:szCs w:val="36"/>
        </w:rPr>
      </w:pPr>
    </w:p>
    <w:p w:rsidR="00915843" w:rsidRDefault="00915843" w:rsidP="00F96335">
      <w:pPr>
        <w:pStyle w:val="NormalnyWeb"/>
        <w:spacing w:after="0" w:afterAutospacing="0" w:line="360" w:lineRule="auto"/>
        <w:outlineLvl w:val="0"/>
        <w:rPr>
          <w:b/>
          <w:sz w:val="36"/>
          <w:szCs w:val="36"/>
        </w:rPr>
      </w:pPr>
    </w:p>
    <w:p w:rsidR="00915843" w:rsidRDefault="00915843" w:rsidP="00915843">
      <w:pPr>
        <w:pStyle w:val="NormalnyWeb"/>
        <w:spacing w:after="0" w:afterAutospacing="0" w:line="360" w:lineRule="auto"/>
        <w:jc w:val="center"/>
        <w:outlineLvl w:val="0"/>
        <w:rPr>
          <w:rFonts w:ascii="Arial" w:hAnsi="Arial" w:cs="Arial"/>
          <w:b/>
        </w:rPr>
      </w:pPr>
    </w:p>
    <w:p w:rsidR="00915843" w:rsidRDefault="00915843" w:rsidP="00915843">
      <w:pPr>
        <w:pStyle w:val="NormalnyWeb"/>
        <w:spacing w:after="0" w:afterAutospacing="0" w:line="360" w:lineRule="auto"/>
        <w:jc w:val="center"/>
        <w:outlineLvl w:val="0"/>
        <w:rPr>
          <w:rFonts w:ascii="Arial" w:hAnsi="Arial" w:cs="Arial"/>
          <w:b/>
        </w:rPr>
      </w:pPr>
      <w:r>
        <w:rPr>
          <w:rFonts w:ascii="Arial" w:hAnsi="Arial" w:cs="Arial"/>
          <w:b/>
        </w:rPr>
        <w:t>Kwiecień 2018</w:t>
      </w:r>
    </w:p>
    <w:p w:rsidR="00915843" w:rsidRDefault="00915843" w:rsidP="00915843">
      <w:pPr>
        <w:pStyle w:val="NormalnyWeb"/>
        <w:spacing w:after="0" w:afterAutospacing="0" w:line="360" w:lineRule="auto"/>
        <w:jc w:val="center"/>
        <w:outlineLvl w:val="0"/>
        <w:rPr>
          <w:b/>
          <w:sz w:val="36"/>
          <w:szCs w:val="36"/>
        </w:rPr>
      </w:pPr>
      <w:r>
        <w:rPr>
          <w:rFonts w:ascii="Arial" w:hAnsi="Arial" w:cs="Arial"/>
          <w:b/>
        </w:rPr>
        <w:lastRenderedPageBreak/>
        <w:t xml:space="preserve"> </w:t>
      </w:r>
    </w:p>
    <w:p w:rsidR="008F5AA6" w:rsidRPr="008F5AA6" w:rsidRDefault="008F5AA6" w:rsidP="008F5AA6">
      <w:pPr>
        <w:numPr>
          <w:ilvl w:val="0"/>
          <w:numId w:val="32"/>
        </w:numPr>
        <w:spacing w:after="0" w:line="360" w:lineRule="auto"/>
        <w:rPr>
          <w:rFonts w:ascii="Times New Roman" w:hAnsi="Times New Roman"/>
          <w:b/>
          <w:color w:val="FF0000"/>
          <w:sz w:val="28"/>
          <w:szCs w:val="28"/>
          <w:lang w:eastAsia="pl-PL"/>
        </w:rPr>
      </w:pPr>
      <w:r w:rsidRPr="008F5AA6">
        <w:rPr>
          <w:rFonts w:ascii="Times New Roman" w:hAnsi="Times New Roman"/>
          <w:b/>
          <w:color w:val="FF0000"/>
          <w:sz w:val="28"/>
          <w:szCs w:val="28"/>
          <w:lang w:eastAsia="pl-PL"/>
        </w:rPr>
        <w:t xml:space="preserve">WPROWADZENIE </w:t>
      </w:r>
    </w:p>
    <w:p w:rsidR="008F5AA6" w:rsidRPr="008F5AA6" w:rsidRDefault="008F5AA6" w:rsidP="008F5AA6">
      <w:pPr>
        <w:spacing w:after="0" w:line="360" w:lineRule="auto"/>
        <w:rPr>
          <w:rFonts w:ascii="Times New Roman" w:hAnsi="Times New Roman"/>
          <w:sz w:val="24"/>
          <w:szCs w:val="24"/>
          <w:lang w:eastAsia="pl-PL"/>
        </w:rPr>
      </w:pPr>
    </w:p>
    <w:p w:rsidR="008F5AA6" w:rsidRPr="008F5AA6" w:rsidRDefault="008F5AA6" w:rsidP="008F5AA6">
      <w:pPr>
        <w:numPr>
          <w:ilvl w:val="0"/>
          <w:numId w:val="29"/>
        </w:numPr>
        <w:spacing w:after="0" w:line="360" w:lineRule="auto"/>
        <w:jc w:val="both"/>
        <w:rPr>
          <w:rFonts w:ascii="Times New Roman" w:eastAsia="Cambria" w:hAnsi="Times New Roman"/>
          <w:i/>
          <w:sz w:val="24"/>
          <w:szCs w:val="24"/>
        </w:rPr>
      </w:pPr>
      <w:r w:rsidRPr="008F5AA6">
        <w:rPr>
          <w:rFonts w:ascii="Times New Roman" w:eastAsia="Cambria" w:hAnsi="Times New Roman"/>
          <w:sz w:val="24"/>
          <w:szCs w:val="24"/>
        </w:rPr>
        <w:t xml:space="preserve">Zgodnie z art. 85 ust. 1 </w:t>
      </w:r>
      <w:r w:rsidRPr="008F5AA6">
        <w:rPr>
          <w:rFonts w:ascii="Times New Roman" w:eastAsia="Cambria" w:hAnsi="Times New Roman"/>
          <w:i/>
          <w:sz w:val="24"/>
          <w:szCs w:val="24"/>
        </w:rPr>
        <w:t>rozporządzenia Parlamentu Europejskiego i Rady (UE) nr 952/2013 z dnia 9 października 2013 r. ustanawiającego unijny kodeks celny</w:t>
      </w:r>
      <w:r w:rsidRPr="008F5AA6">
        <w:rPr>
          <w:rFonts w:ascii="Times New Roman" w:eastAsia="Cambria" w:hAnsi="Times New Roman"/>
          <w:sz w:val="24"/>
          <w:szCs w:val="24"/>
          <w:vertAlign w:val="superscript"/>
        </w:rPr>
        <w:footnoteReference w:id="1"/>
      </w:r>
      <w:r w:rsidRPr="008F5AA6">
        <w:rPr>
          <w:rFonts w:ascii="Times New Roman" w:eastAsia="Cambria" w:hAnsi="Times New Roman"/>
          <w:sz w:val="24"/>
          <w:szCs w:val="24"/>
        </w:rPr>
        <w:t xml:space="preserve"> (w dalszej części wytycznych: UKC): </w:t>
      </w:r>
      <w:r w:rsidRPr="008F5AA6">
        <w:rPr>
          <w:rFonts w:ascii="Times New Roman" w:eastAsia="Cambria" w:hAnsi="Times New Roman"/>
          <w:i/>
          <w:sz w:val="24"/>
          <w:szCs w:val="24"/>
        </w:rPr>
        <w:t xml:space="preserve">Kwota należności celnych przywozowych lub wywozowych jest określana zgodnie z takimi zasadami obliczania należności celnych, jakie miały zastosowanie do danych towarów w chwili powstania w stosunku do nich długu celnego.  </w:t>
      </w:r>
    </w:p>
    <w:p w:rsidR="008F5AA6" w:rsidRPr="008F5AA6" w:rsidRDefault="008F5AA6" w:rsidP="008F5AA6">
      <w:pPr>
        <w:spacing w:after="0" w:line="360" w:lineRule="auto"/>
        <w:jc w:val="both"/>
        <w:rPr>
          <w:rFonts w:ascii="Times New Roman" w:eastAsia="Cambria" w:hAnsi="Times New Roman"/>
          <w:sz w:val="24"/>
          <w:szCs w:val="24"/>
        </w:rPr>
      </w:pPr>
    </w:p>
    <w:p w:rsidR="008F5AA6" w:rsidRPr="008F5AA6" w:rsidRDefault="008F5AA6" w:rsidP="008F5AA6">
      <w:pPr>
        <w:numPr>
          <w:ilvl w:val="0"/>
          <w:numId w:val="29"/>
        </w:numPr>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Wartość celna </w:t>
      </w:r>
      <w:r w:rsidR="00974F32">
        <w:rPr>
          <w:rFonts w:ascii="Times New Roman" w:eastAsia="Cambria" w:hAnsi="Times New Roman"/>
          <w:sz w:val="24"/>
          <w:szCs w:val="24"/>
        </w:rPr>
        <w:t xml:space="preserve">stanowi podstawę wymierzenia należności celnych i podatkowych </w:t>
      </w:r>
      <w:r w:rsidR="00B237CA">
        <w:rPr>
          <w:rFonts w:ascii="Times New Roman" w:eastAsia="Cambria" w:hAnsi="Times New Roman"/>
          <w:sz w:val="24"/>
          <w:szCs w:val="24"/>
        </w:rPr>
        <w:br/>
      </w:r>
      <w:r w:rsidR="00974F32">
        <w:rPr>
          <w:rFonts w:ascii="Times New Roman" w:eastAsia="Cambria" w:hAnsi="Times New Roman"/>
          <w:sz w:val="24"/>
          <w:szCs w:val="24"/>
        </w:rPr>
        <w:t xml:space="preserve">w przywozie. </w:t>
      </w:r>
      <w:r w:rsidRPr="008F5AA6">
        <w:rPr>
          <w:rFonts w:ascii="Times New Roman" w:eastAsia="Cambria" w:hAnsi="Times New Roman"/>
          <w:sz w:val="24"/>
          <w:szCs w:val="24"/>
        </w:rPr>
        <w:t xml:space="preserve"> </w:t>
      </w:r>
    </w:p>
    <w:p w:rsidR="008F5AA6" w:rsidRPr="008F5AA6" w:rsidRDefault="008F5AA6" w:rsidP="008F5AA6">
      <w:pPr>
        <w:spacing w:after="0" w:line="360" w:lineRule="auto"/>
        <w:jc w:val="both"/>
        <w:rPr>
          <w:rFonts w:ascii="Times New Roman" w:eastAsia="Cambria" w:hAnsi="Times New Roman"/>
          <w:sz w:val="24"/>
          <w:szCs w:val="24"/>
        </w:rPr>
      </w:pPr>
    </w:p>
    <w:p w:rsidR="008F5AA6" w:rsidRPr="008F5AA6" w:rsidRDefault="008F5AA6" w:rsidP="008F5AA6">
      <w:pPr>
        <w:numPr>
          <w:ilvl w:val="0"/>
          <w:numId w:val="29"/>
        </w:numPr>
        <w:autoSpaceDE w:val="0"/>
        <w:autoSpaceDN w:val="0"/>
        <w:adjustRightInd w:val="0"/>
        <w:spacing w:after="0" w:line="360" w:lineRule="auto"/>
        <w:ind w:left="357" w:hanging="357"/>
        <w:jc w:val="both"/>
        <w:rPr>
          <w:rFonts w:ascii="Times New Roman" w:eastAsia="Cambria" w:hAnsi="Times New Roman"/>
          <w:sz w:val="24"/>
          <w:szCs w:val="24"/>
        </w:rPr>
      </w:pPr>
      <w:r w:rsidRPr="008F5AA6">
        <w:rPr>
          <w:rFonts w:ascii="Times New Roman" w:eastAsia="Cambria" w:hAnsi="Times New Roman"/>
          <w:sz w:val="24"/>
          <w:szCs w:val="24"/>
        </w:rPr>
        <w:t xml:space="preserve">Zgodnie z art. 70 ust. 1 UKC </w:t>
      </w:r>
      <w:r w:rsidRPr="008F5AA6">
        <w:rPr>
          <w:rFonts w:ascii="Times New Roman" w:eastAsia="Cambria" w:hAnsi="Times New Roman"/>
          <w:i/>
          <w:sz w:val="24"/>
          <w:szCs w:val="24"/>
        </w:rPr>
        <w:t>Zasadniczą podstawą wartości celnej towarów jest wartość transakcyjna, tj. cena faktycznie zapłacona lub należna za towary, gdy zostały one sprzedane w celu wywozu na obszar celny Unii, w razie potrzeby skorygowana</w:t>
      </w:r>
      <w:r w:rsidRPr="008F5AA6">
        <w:rPr>
          <w:rFonts w:ascii="Times New Roman" w:eastAsia="Cambria" w:hAnsi="Times New Roman"/>
          <w:sz w:val="24"/>
          <w:szCs w:val="24"/>
        </w:rPr>
        <w:t>. Cena faktycznie zapłacona lub należna, zdefiniowana w przepisach art. 70 ust. 2 UKC, jest tylko jednym z elementów formułujący</w:t>
      </w:r>
      <w:r w:rsidR="00974F32">
        <w:rPr>
          <w:rFonts w:ascii="Times New Roman" w:eastAsia="Cambria" w:hAnsi="Times New Roman"/>
          <w:sz w:val="24"/>
          <w:szCs w:val="24"/>
        </w:rPr>
        <w:t>ch</w:t>
      </w:r>
      <w:r w:rsidRPr="008F5AA6">
        <w:rPr>
          <w:rFonts w:ascii="Times New Roman" w:eastAsia="Cambria" w:hAnsi="Times New Roman"/>
          <w:sz w:val="24"/>
          <w:szCs w:val="24"/>
        </w:rPr>
        <w:t xml:space="preserve"> wartość celną. W myśl tych przepisów </w:t>
      </w:r>
      <w:r w:rsidRPr="008F5AA6">
        <w:rPr>
          <w:rFonts w:ascii="Times New Roman" w:eastAsia="Cambria" w:hAnsi="Times New Roman"/>
          <w:i/>
          <w:sz w:val="24"/>
          <w:szCs w:val="24"/>
        </w:rPr>
        <w:t xml:space="preserve">Cena faktycznie zapłacona lub należna to całkowita płatność, która została lub ma zostać dokonana przez kupującego sprzedającemu lub przez kupującego stronie trzeciej na korzyść sprzedającego za przywożone towary i obejmująca wszystkie płatności, które zostały lub mają zostać </w:t>
      </w:r>
      <w:proofErr w:type="gramStart"/>
      <w:r w:rsidRPr="008F5AA6">
        <w:rPr>
          <w:rFonts w:ascii="Times New Roman" w:eastAsia="Cambria" w:hAnsi="Times New Roman"/>
          <w:i/>
          <w:sz w:val="24"/>
          <w:szCs w:val="24"/>
        </w:rPr>
        <w:t>dokonane jako</w:t>
      </w:r>
      <w:proofErr w:type="gramEnd"/>
      <w:r w:rsidRPr="008F5AA6">
        <w:rPr>
          <w:rFonts w:ascii="Times New Roman" w:eastAsia="Cambria" w:hAnsi="Times New Roman"/>
          <w:i/>
          <w:sz w:val="24"/>
          <w:szCs w:val="24"/>
        </w:rPr>
        <w:t xml:space="preserve"> warunek sprzedaży przywożonych towarów</w:t>
      </w:r>
      <w:r w:rsidRPr="008F5AA6">
        <w:rPr>
          <w:rFonts w:ascii="Times New Roman" w:eastAsia="Cambria" w:hAnsi="Times New Roman"/>
          <w:sz w:val="24"/>
          <w:szCs w:val="24"/>
        </w:rPr>
        <w:t xml:space="preserve">. Wśród pozostałych elementów mających wpływ na kwotę stanowiącą wartość celną wyróżnia się koszty dodawane do ceny faktycznie zapłaconej lub należnej, o ile nie zostały już ujęte </w:t>
      </w:r>
      <w:r w:rsidR="00205171">
        <w:rPr>
          <w:rFonts w:ascii="Times New Roman" w:eastAsia="Cambria" w:hAnsi="Times New Roman"/>
          <w:sz w:val="24"/>
          <w:szCs w:val="24"/>
        </w:rPr>
        <w:br/>
      </w:r>
      <w:r w:rsidRPr="008F5AA6">
        <w:rPr>
          <w:rFonts w:ascii="Times New Roman" w:eastAsia="Cambria" w:hAnsi="Times New Roman"/>
          <w:sz w:val="24"/>
          <w:szCs w:val="24"/>
        </w:rPr>
        <w:t xml:space="preserve">w cenie faktycznie zapłaconej lub należnej za towary (art. 71 ust. 1 UKC) oraz koszty, których nie wlicza się do wartości celnej (art. 72 UKC).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29"/>
        </w:numPr>
        <w:autoSpaceDE w:val="0"/>
        <w:autoSpaceDN w:val="0"/>
        <w:adjustRightInd w:val="0"/>
        <w:spacing w:after="0" w:line="360" w:lineRule="auto"/>
        <w:ind w:left="357" w:hanging="357"/>
        <w:jc w:val="both"/>
        <w:rPr>
          <w:rFonts w:ascii="Times New Roman" w:eastAsia="Cambria" w:hAnsi="Times New Roman"/>
          <w:sz w:val="24"/>
          <w:szCs w:val="24"/>
        </w:rPr>
      </w:pPr>
      <w:r w:rsidRPr="008F5AA6">
        <w:rPr>
          <w:rFonts w:ascii="Times New Roman" w:eastAsia="Cambria" w:hAnsi="Times New Roman"/>
          <w:sz w:val="24"/>
          <w:szCs w:val="24"/>
        </w:rPr>
        <w:t xml:space="preserve">Nie zawsze w chwili powstania długu celnego zgłaszający dysponuje wszystkimi informacjami niezbędnymi do ustalenia podstawy wyliczenia należności celnych przywozowych i podatkowych w przywozie. W takim przypadku zgłaszający może skorzystać z instytucji </w:t>
      </w:r>
      <w:r w:rsidRPr="008F5AA6">
        <w:rPr>
          <w:rFonts w:ascii="Times New Roman" w:eastAsia="Cambria" w:hAnsi="Times New Roman"/>
          <w:b/>
          <w:sz w:val="24"/>
          <w:szCs w:val="24"/>
        </w:rPr>
        <w:t xml:space="preserve">uproszczonego określania elementów wartości celnej towarów, </w:t>
      </w:r>
      <w:r w:rsidRPr="008F5AA6">
        <w:rPr>
          <w:rFonts w:ascii="Times New Roman" w:eastAsia="Cambria" w:hAnsi="Times New Roman"/>
          <w:b/>
          <w:sz w:val="24"/>
          <w:szCs w:val="24"/>
        </w:rPr>
        <w:br/>
        <w:t xml:space="preserve">o której mowa w przepisach art. </w:t>
      </w:r>
      <w:r w:rsidRPr="008F5AA6">
        <w:rPr>
          <w:rFonts w:ascii="Times New Roman" w:eastAsia="Cambria" w:hAnsi="Times New Roman"/>
          <w:b/>
          <w:bCs/>
          <w:sz w:val="24"/>
          <w:szCs w:val="24"/>
        </w:rPr>
        <w:t>73 UKC.</w:t>
      </w:r>
      <w:r w:rsidRPr="008F5AA6">
        <w:rPr>
          <w:rFonts w:ascii="Times New Roman" w:eastAsia="Cambria" w:hAnsi="Times New Roman"/>
          <w:bCs/>
          <w:sz w:val="24"/>
          <w:szCs w:val="24"/>
        </w:rPr>
        <w:t xml:space="preserve">  </w:t>
      </w:r>
      <w:r w:rsidRPr="008F5AA6">
        <w:rPr>
          <w:rFonts w:ascii="Times New Roman" w:eastAsia="Cambria" w:hAnsi="Times New Roman"/>
          <w:sz w:val="24"/>
          <w:szCs w:val="24"/>
        </w:rPr>
        <w:t xml:space="preserve">Instytucja ta sprawdza się w tych sytuacjach, </w:t>
      </w:r>
      <w:r w:rsidRPr="008F5AA6">
        <w:rPr>
          <w:rFonts w:ascii="Times New Roman" w:eastAsia="Cambria" w:hAnsi="Times New Roman"/>
          <w:sz w:val="24"/>
          <w:szCs w:val="24"/>
        </w:rPr>
        <w:br/>
        <w:t xml:space="preserve">w których z umowami sprzedaży towarów, dla których ustalana jest wartość celna </w:t>
      </w:r>
      <w:r w:rsidRPr="008F5AA6">
        <w:rPr>
          <w:rFonts w:ascii="Times New Roman" w:eastAsia="Cambria" w:hAnsi="Times New Roman"/>
          <w:sz w:val="24"/>
          <w:szCs w:val="24"/>
        </w:rPr>
        <w:lastRenderedPageBreak/>
        <w:t xml:space="preserve">związane jest wypełnianie np. postanowień umów licencyjnych, umów świadczenia usług transportowych czy umów ubezpieczenia ładunków w transporcie.  </w:t>
      </w:r>
    </w:p>
    <w:p w:rsidR="008F5AA6" w:rsidRPr="008F5AA6" w:rsidRDefault="008F5AA6" w:rsidP="008F5AA6">
      <w:pPr>
        <w:spacing w:after="0" w:line="360" w:lineRule="auto"/>
        <w:jc w:val="both"/>
        <w:rPr>
          <w:rFonts w:ascii="Times New Roman" w:eastAsia="Cambria" w:hAnsi="Times New Roman"/>
          <w:sz w:val="24"/>
          <w:szCs w:val="24"/>
        </w:rPr>
      </w:pPr>
    </w:p>
    <w:p w:rsidR="008F5AA6" w:rsidRPr="008F5AA6" w:rsidRDefault="008F5AA6" w:rsidP="008F5AA6">
      <w:pPr>
        <w:numPr>
          <w:ilvl w:val="0"/>
          <w:numId w:val="29"/>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W myśl przepisów 73 UKC organy celne mogą, </w:t>
      </w:r>
      <w:r w:rsidRPr="008F5AA6">
        <w:rPr>
          <w:rFonts w:ascii="Times New Roman" w:eastAsia="Cambria" w:hAnsi="Times New Roman"/>
          <w:b/>
          <w:sz w:val="24"/>
          <w:szCs w:val="24"/>
        </w:rPr>
        <w:t>na wniosek osoby zainteresowanej</w:t>
      </w:r>
      <w:r w:rsidRPr="008F5AA6">
        <w:rPr>
          <w:rFonts w:ascii="Times New Roman" w:eastAsia="Cambria" w:hAnsi="Times New Roman"/>
          <w:sz w:val="24"/>
          <w:szCs w:val="24"/>
        </w:rPr>
        <w:t xml:space="preserve">, zezwolić, aby poniżej przedstawione elementy formułujące wartość celną, </w:t>
      </w:r>
      <w:r w:rsidRPr="008F5AA6">
        <w:rPr>
          <w:rFonts w:ascii="Times New Roman" w:eastAsia="Cambria" w:hAnsi="Times New Roman"/>
          <w:b/>
          <w:sz w:val="24"/>
          <w:szCs w:val="24"/>
        </w:rPr>
        <w:t>jeżeli nie można ich obliczyć w dniu przyjęcia zgłoszenia celnego</w:t>
      </w:r>
      <w:r w:rsidRPr="008F5AA6">
        <w:rPr>
          <w:rFonts w:ascii="Times New Roman" w:eastAsia="Cambria" w:hAnsi="Times New Roman"/>
          <w:sz w:val="24"/>
          <w:szCs w:val="24"/>
        </w:rPr>
        <w:t>, były obliczane na podstawie szczególnych kryteriów:</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1"/>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kwoty, które należy wliczyć do wartości celnej zgodnie z przepisami art. 70 ust. 2 UKC, jako stanowiące część ceny faktycznie zapłaconej lub należnej (np. kwoty odzwierciedlające koszty składowania towarów za granicą zapłacone przez kupującego sprzedającemu lub przez kupującego stronie trzeciej na korzyść sprzedającego, które zostały </w:t>
      </w:r>
      <w:proofErr w:type="gramStart"/>
      <w:r w:rsidRPr="008F5AA6">
        <w:rPr>
          <w:rFonts w:ascii="Times New Roman" w:eastAsia="Cambria" w:hAnsi="Times New Roman"/>
          <w:sz w:val="24"/>
          <w:szCs w:val="24"/>
        </w:rPr>
        <w:t>dokonane jako</w:t>
      </w:r>
      <w:proofErr w:type="gramEnd"/>
      <w:r w:rsidRPr="008F5AA6">
        <w:rPr>
          <w:rFonts w:ascii="Times New Roman" w:eastAsia="Cambria" w:hAnsi="Times New Roman"/>
          <w:sz w:val="24"/>
          <w:szCs w:val="24"/>
        </w:rPr>
        <w:t xml:space="preserve"> warunek sprzedaży przewożonych towarów);</w:t>
      </w:r>
    </w:p>
    <w:p w:rsidR="008F5AA6" w:rsidRPr="008F5AA6" w:rsidRDefault="008F5AA6" w:rsidP="008F5AA6">
      <w:pPr>
        <w:autoSpaceDE w:val="0"/>
        <w:autoSpaceDN w:val="0"/>
        <w:adjustRightInd w:val="0"/>
        <w:spacing w:after="0" w:line="360" w:lineRule="auto"/>
        <w:ind w:left="720"/>
        <w:jc w:val="both"/>
        <w:rPr>
          <w:rFonts w:ascii="Times New Roman" w:eastAsia="Cambria" w:hAnsi="Times New Roman"/>
          <w:sz w:val="24"/>
          <w:szCs w:val="24"/>
        </w:rPr>
      </w:pPr>
    </w:p>
    <w:p w:rsidR="008F5AA6" w:rsidRPr="008F5AA6" w:rsidRDefault="008F5AA6" w:rsidP="008F5AA6">
      <w:pPr>
        <w:numPr>
          <w:ilvl w:val="0"/>
          <w:numId w:val="31"/>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t>kwoty</w:t>
      </w:r>
      <w:proofErr w:type="gramEnd"/>
      <w:r w:rsidRPr="008F5AA6">
        <w:rPr>
          <w:rFonts w:ascii="Times New Roman" w:eastAsia="Cambria" w:hAnsi="Times New Roman"/>
          <w:sz w:val="24"/>
          <w:szCs w:val="24"/>
        </w:rPr>
        <w:t xml:space="preserve"> dodawane do ceny faktycznie zapłaconej lub należnej zgodnie z przepisami </w:t>
      </w:r>
      <w:r w:rsidRPr="008F5AA6">
        <w:rPr>
          <w:rFonts w:ascii="Times New Roman" w:eastAsia="Cambria" w:hAnsi="Times New Roman"/>
          <w:sz w:val="24"/>
          <w:szCs w:val="24"/>
        </w:rPr>
        <w:br/>
        <w:t xml:space="preserve">art. 71 ust. 1 UKC (np. opłaty licencyjne);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1"/>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t>kwoty</w:t>
      </w:r>
      <w:proofErr w:type="gramEnd"/>
      <w:r w:rsidRPr="008F5AA6">
        <w:rPr>
          <w:rFonts w:ascii="Times New Roman" w:eastAsia="Cambria" w:hAnsi="Times New Roman"/>
          <w:sz w:val="24"/>
          <w:szCs w:val="24"/>
        </w:rPr>
        <w:t xml:space="preserve"> niewliczane do wartości celnej zgodnie z przepisami art. 72 UKC (np. prowizje od zakupu). </w:t>
      </w:r>
    </w:p>
    <w:p w:rsid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2"/>
        </w:numPr>
        <w:spacing w:after="0" w:line="360" w:lineRule="auto"/>
        <w:jc w:val="both"/>
        <w:rPr>
          <w:rFonts w:ascii="Times New Roman" w:hAnsi="Times New Roman"/>
          <w:b/>
          <w:color w:val="FF0000"/>
          <w:sz w:val="28"/>
          <w:szCs w:val="28"/>
          <w:lang w:eastAsia="pl-PL"/>
        </w:rPr>
      </w:pPr>
      <w:r w:rsidRPr="008F5AA6">
        <w:rPr>
          <w:rFonts w:ascii="Times New Roman" w:hAnsi="Times New Roman"/>
          <w:b/>
          <w:color w:val="FF0000"/>
          <w:sz w:val="28"/>
          <w:szCs w:val="28"/>
          <w:lang w:eastAsia="pl-PL"/>
        </w:rPr>
        <w:t xml:space="preserve">PRZEDMIOTOWE I PODMIOTOWE WARUNKI WYDANIA POZWOLENIA </w:t>
      </w:r>
    </w:p>
    <w:p w:rsidR="008F5AA6" w:rsidRPr="008F5AA6" w:rsidRDefault="008F5AA6" w:rsidP="008F5AA6">
      <w:pPr>
        <w:spacing w:after="0" w:line="360" w:lineRule="auto"/>
        <w:ind w:left="360"/>
        <w:jc w:val="both"/>
        <w:rPr>
          <w:rFonts w:ascii="Times New Roman" w:hAnsi="Times New Roman"/>
          <w:sz w:val="24"/>
          <w:szCs w:val="24"/>
          <w:lang w:eastAsia="pl-PL"/>
        </w:rPr>
      </w:pPr>
    </w:p>
    <w:p w:rsidR="008F5AA6" w:rsidRPr="008F5AA6" w:rsidRDefault="008F5AA6" w:rsidP="008F5AA6">
      <w:pPr>
        <w:numPr>
          <w:ilvl w:val="0"/>
          <w:numId w:val="27"/>
        </w:numPr>
        <w:spacing w:after="0" w:line="360" w:lineRule="auto"/>
        <w:jc w:val="both"/>
        <w:rPr>
          <w:rFonts w:ascii="Times New Roman" w:hAnsi="Times New Roman"/>
          <w:sz w:val="24"/>
          <w:szCs w:val="24"/>
          <w:lang w:eastAsia="pl-PL"/>
        </w:rPr>
      </w:pPr>
      <w:r w:rsidRPr="008F5AA6">
        <w:rPr>
          <w:rFonts w:ascii="Times New Roman" w:hAnsi="Times New Roman"/>
          <w:sz w:val="24"/>
          <w:szCs w:val="24"/>
          <w:lang w:eastAsia="pl-PL"/>
        </w:rPr>
        <w:t xml:space="preserve">W przepisach art. 71 </w:t>
      </w:r>
      <w:r w:rsidRPr="008F5AA6">
        <w:rPr>
          <w:rFonts w:ascii="Times New Roman" w:hAnsi="Times New Roman"/>
          <w:i/>
          <w:sz w:val="24"/>
          <w:szCs w:val="24"/>
          <w:lang w:eastAsia="pl-PL"/>
        </w:rPr>
        <w:t>rozporządzenia delegowanego Komisji (UE) 2015/2446 z dnia 28 lipca 2015 r. uzupełniającego rozporządzenie Parlamentu Europejskiego i Rady (UE) nr 952/2013 w odniesieniu do szczegółowych zasad dotyczących niektórych przepisów unijnego kodeksu celnego</w:t>
      </w:r>
      <w:r w:rsidRPr="008F5AA6">
        <w:rPr>
          <w:rFonts w:ascii="Times New Roman" w:hAnsi="Times New Roman"/>
          <w:i/>
          <w:sz w:val="24"/>
          <w:szCs w:val="24"/>
          <w:vertAlign w:val="superscript"/>
          <w:lang w:eastAsia="pl-PL"/>
        </w:rPr>
        <w:footnoteReference w:id="2"/>
      </w:r>
      <w:r w:rsidRPr="008F5AA6">
        <w:rPr>
          <w:rFonts w:ascii="Times New Roman" w:hAnsi="Times New Roman"/>
          <w:sz w:val="24"/>
          <w:szCs w:val="24"/>
          <w:lang w:eastAsia="pl-PL"/>
        </w:rPr>
        <w:t xml:space="preserve"> (w dalszej części wytycznych: </w:t>
      </w:r>
      <w:r w:rsidR="00571BEE">
        <w:rPr>
          <w:rFonts w:ascii="Times New Roman" w:hAnsi="Times New Roman"/>
          <w:sz w:val="24"/>
          <w:szCs w:val="24"/>
          <w:lang w:eastAsia="pl-PL"/>
        </w:rPr>
        <w:t xml:space="preserve">UKC </w:t>
      </w:r>
      <w:r w:rsidRPr="008F5AA6">
        <w:rPr>
          <w:rFonts w:ascii="Times New Roman" w:hAnsi="Times New Roman"/>
          <w:sz w:val="24"/>
          <w:szCs w:val="24"/>
          <w:lang w:eastAsia="pl-PL"/>
        </w:rPr>
        <w:t>RD) zostały określone przedmiotowe i podmiotowe warunki wydania pozwolenia na korzystanie z uproszczenia dotyczącego ustalania kwot stanowiących część wartości celnej towarów.</w:t>
      </w:r>
    </w:p>
    <w:p w:rsidR="008F5AA6" w:rsidRDefault="008F5AA6" w:rsidP="008F5AA6">
      <w:pPr>
        <w:spacing w:after="0" w:line="360" w:lineRule="auto"/>
        <w:ind w:left="360"/>
        <w:jc w:val="both"/>
        <w:rPr>
          <w:rFonts w:ascii="Times New Roman" w:hAnsi="Times New Roman"/>
          <w:sz w:val="24"/>
          <w:szCs w:val="24"/>
          <w:lang w:eastAsia="pl-PL"/>
        </w:rPr>
      </w:pPr>
    </w:p>
    <w:p w:rsidR="00915843" w:rsidRPr="008F5AA6" w:rsidRDefault="00915843" w:rsidP="008F5AA6">
      <w:pPr>
        <w:spacing w:after="0" w:line="360" w:lineRule="auto"/>
        <w:ind w:left="360"/>
        <w:jc w:val="both"/>
        <w:rPr>
          <w:rFonts w:ascii="Times New Roman" w:hAnsi="Times New Roman"/>
          <w:sz w:val="24"/>
          <w:szCs w:val="24"/>
          <w:lang w:eastAsia="pl-PL"/>
        </w:rPr>
      </w:pPr>
    </w:p>
    <w:p w:rsidR="008F5AA6" w:rsidRPr="008F5AA6" w:rsidRDefault="008F5AA6" w:rsidP="008F5AA6">
      <w:pPr>
        <w:numPr>
          <w:ilvl w:val="0"/>
          <w:numId w:val="27"/>
        </w:numPr>
        <w:spacing w:after="0" w:line="360" w:lineRule="auto"/>
        <w:jc w:val="both"/>
        <w:rPr>
          <w:rFonts w:ascii="Times New Roman" w:hAnsi="Times New Roman"/>
          <w:sz w:val="24"/>
          <w:szCs w:val="24"/>
          <w:lang w:eastAsia="pl-PL"/>
        </w:rPr>
      </w:pPr>
      <w:r w:rsidRPr="008F5AA6">
        <w:rPr>
          <w:rFonts w:ascii="Times New Roman" w:eastAsia="Cambria" w:hAnsi="Times New Roman"/>
          <w:b/>
          <w:sz w:val="24"/>
          <w:szCs w:val="24"/>
        </w:rPr>
        <w:lastRenderedPageBreak/>
        <w:t xml:space="preserve">Warunki przedmiotowe – art. 71 ust. 1 lit. a) i b) </w:t>
      </w:r>
      <w:r w:rsidR="00571BEE">
        <w:rPr>
          <w:rFonts w:ascii="Times New Roman" w:eastAsia="Cambria" w:hAnsi="Times New Roman"/>
          <w:b/>
          <w:sz w:val="24"/>
          <w:szCs w:val="24"/>
        </w:rPr>
        <w:t xml:space="preserve">UKC </w:t>
      </w:r>
      <w:r w:rsidRPr="008F5AA6">
        <w:rPr>
          <w:rFonts w:ascii="Times New Roman" w:eastAsia="Cambria" w:hAnsi="Times New Roman"/>
          <w:b/>
          <w:sz w:val="24"/>
          <w:szCs w:val="24"/>
        </w:rPr>
        <w:t xml:space="preserve">RD </w:t>
      </w:r>
    </w:p>
    <w:p w:rsidR="008F5AA6" w:rsidRPr="008F5AA6" w:rsidRDefault="008F5AA6" w:rsidP="008F5AA6">
      <w:pPr>
        <w:autoSpaceDE w:val="0"/>
        <w:autoSpaceDN w:val="0"/>
        <w:adjustRightInd w:val="0"/>
        <w:spacing w:after="0" w:line="360" w:lineRule="auto"/>
        <w:ind w:left="357"/>
        <w:jc w:val="both"/>
        <w:rPr>
          <w:rFonts w:ascii="Times New Roman" w:eastAsia="Cambria" w:hAnsi="Times New Roman"/>
          <w:sz w:val="24"/>
          <w:szCs w:val="24"/>
          <w:u w:val="single"/>
        </w:rPr>
      </w:pPr>
    </w:p>
    <w:p w:rsidR="008F5AA6" w:rsidRPr="008F5AA6" w:rsidRDefault="008F5AA6" w:rsidP="008F5AA6">
      <w:pPr>
        <w:numPr>
          <w:ilvl w:val="0"/>
          <w:numId w:val="30"/>
        </w:numPr>
        <w:autoSpaceDE w:val="0"/>
        <w:autoSpaceDN w:val="0"/>
        <w:adjustRightInd w:val="0"/>
        <w:spacing w:after="0" w:line="360" w:lineRule="auto"/>
        <w:jc w:val="both"/>
        <w:rPr>
          <w:rFonts w:ascii="Times New Roman" w:eastAsia="Cambria" w:hAnsi="Times New Roman"/>
          <w:sz w:val="24"/>
          <w:szCs w:val="24"/>
          <w:u w:val="single"/>
        </w:rPr>
      </w:pPr>
      <w:r w:rsidRPr="008F5AA6">
        <w:rPr>
          <w:rFonts w:ascii="Times New Roman" w:eastAsia="Calibri" w:hAnsi="Times New Roman"/>
          <w:sz w:val="24"/>
          <w:szCs w:val="24"/>
        </w:rPr>
        <w:t xml:space="preserve">Wykorzystanie zgłoszenia uproszczonego wiązałoby się w danych okolicznościach </w:t>
      </w:r>
      <w:r w:rsidRPr="008F5AA6">
        <w:rPr>
          <w:rFonts w:ascii="Times New Roman" w:eastAsia="Calibri" w:hAnsi="Times New Roman"/>
          <w:sz w:val="24"/>
          <w:szCs w:val="24"/>
        </w:rPr>
        <w:br/>
        <w:t>z poniesieniem nieproporcjonalnych kosztów administracyjnych.</w:t>
      </w:r>
    </w:p>
    <w:p w:rsidR="008F5AA6" w:rsidRPr="008F5AA6" w:rsidRDefault="008F5AA6" w:rsidP="008F5AA6">
      <w:pPr>
        <w:autoSpaceDE w:val="0"/>
        <w:autoSpaceDN w:val="0"/>
        <w:adjustRightInd w:val="0"/>
        <w:spacing w:after="0" w:line="360" w:lineRule="auto"/>
        <w:ind w:left="720"/>
        <w:jc w:val="both"/>
        <w:rPr>
          <w:rFonts w:ascii="Times New Roman" w:eastAsia="Calibri"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Warunek ten jest spełniony, gdy importer często zgłasza towary, których wartość celna nie może być obliczona w czasie zgłaszania tych towarów do procedury dopuszczenia do obrotu </w:t>
      </w:r>
      <w:r w:rsidRPr="008F5AA6">
        <w:rPr>
          <w:rFonts w:ascii="Times New Roman" w:eastAsia="Cambria" w:hAnsi="Times New Roman"/>
          <w:sz w:val="24"/>
          <w:szCs w:val="24"/>
        </w:rPr>
        <w:br/>
        <w:t xml:space="preserve"> i w związku z tym faktem wykorzystanie prawnej instytucji zgłoszenia uproszczonego, </w:t>
      </w:r>
      <w:r w:rsidRPr="008F5AA6">
        <w:rPr>
          <w:rFonts w:ascii="Times New Roman" w:eastAsia="Cambria" w:hAnsi="Times New Roman"/>
          <w:sz w:val="24"/>
          <w:szCs w:val="24"/>
        </w:rPr>
        <w:br/>
        <w:t>o którym mowa w przepisach art. 166 UKC, wiązałoby się z poniesieniem dużych kosztów administracyjnych nie tylko przez zgłaszającego (konieczność przedkładania wielu zgłoszeń uzupełniających), ale również przez organy</w:t>
      </w:r>
      <w:r w:rsidR="00205171">
        <w:rPr>
          <w:rFonts w:ascii="Times New Roman" w:eastAsia="Cambria" w:hAnsi="Times New Roman"/>
          <w:sz w:val="24"/>
          <w:szCs w:val="24"/>
        </w:rPr>
        <w:t xml:space="preserve"> </w:t>
      </w:r>
      <w:r w:rsidR="00F33C5F">
        <w:rPr>
          <w:rFonts w:ascii="Times New Roman" w:eastAsia="Cambria" w:hAnsi="Times New Roman"/>
          <w:sz w:val="24"/>
          <w:szCs w:val="24"/>
        </w:rPr>
        <w:t>celno-skarbowe.</w:t>
      </w:r>
      <w:r w:rsidRPr="008F5AA6">
        <w:rPr>
          <w:rFonts w:ascii="Times New Roman" w:eastAsia="Cambria" w:hAnsi="Times New Roman"/>
          <w:sz w:val="24"/>
          <w:szCs w:val="24"/>
        </w:rPr>
        <w:t xml:space="preserve">   </w:t>
      </w:r>
    </w:p>
    <w:p w:rsidR="008F5AA6" w:rsidRPr="008F5AA6" w:rsidRDefault="008F5AA6" w:rsidP="008F5AA6">
      <w:pPr>
        <w:autoSpaceDE w:val="0"/>
        <w:autoSpaceDN w:val="0"/>
        <w:adjustRightInd w:val="0"/>
        <w:spacing w:after="0" w:line="360" w:lineRule="auto"/>
        <w:ind w:left="720"/>
        <w:jc w:val="both"/>
        <w:rPr>
          <w:rFonts w:ascii="Times New Roman" w:eastAsia="Cambria" w:hAnsi="Times New Roman"/>
          <w:sz w:val="24"/>
          <w:szCs w:val="24"/>
          <w:u w:val="single"/>
        </w:rPr>
      </w:pPr>
    </w:p>
    <w:p w:rsidR="008F5AA6" w:rsidRPr="008F5AA6" w:rsidRDefault="008F5AA6" w:rsidP="008F5AA6">
      <w:pPr>
        <w:numPr>
          <w:ilvl w:val="0"/>
          <w:numId w:val="30"/>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Ustalona </w:t>
      </w:r>
      <w:r w:rsidRPr="008F5AA6">
        <w:rPr>
          <w:rFonts w:ascii="Times New Roman" w:eastAsia="Calibri" w:hAnsi="Times New Roman"/>
          <w:sz w:val="24"/>
          <w:szCs w:val="24"/>
        </w:rPr>
        <w:t xml:space="preserve">wartość celna </w:t>
      </w:r>
      <w:r w:rsidRPr="008F5AA6">
        <w:rPr>
          <w:rFonts w:ascii="Times New Roman" w:eastAsia="Calibri" w:hAnsi="Times New Roman"/>
          <w:b/>
          <w:sz w:val="24"/>
          <w:szCs w:val="24"/>
        </w:rPr>
        <w:t>nie będzie znacząco odbiegać</w:t>
      </w:r>
      <w:r w:rsidRPr="008F5AA6">
        <w:rPr>
          <w:rFonts w:ascii="Times New Roman" w:eastAsia="Calibri" w:hAnsi="Times New Roman"/>
          <w:sz w:val="24"/>
          <w:szCs w:val="24"/>
        </w:rPr>
        <w:t xml:space="preserve"> od wartości celnej ustalonej </w:t>
      </w:r>
      <w:r w:rsidRPr="008F5AA6">
        <w:rPr>
          <w:rFonts w:ascii="Times New Roman" w:eastAsia="Calibri" w:hAnsi="Times New Roman"/>
          <w:sz w:val="24"/>
          <w:szCs w:val="24"/>
        </w:rPr>
        <w:br/>
        <w:t xml:space="preserve">w przypadku braku pozwolenia. </w:t>
      </w:r>
    </w:p>
    <w:p w:rsidR="008F5AA6" w:rsidRPr="008F5AA6" w:rsidRDefault="008F5AA6" w:rsidP="008F5AA6">
      <w:pPr>
        <w:autoSpaceDE w:val="0"/>
        <w:autoSpaceDN w:val="0"/>
        <w:adjustRightInd w:val="0"/>
        <w:spacing w:after="0" w:line="360" w:lineRule="auto"/>
        <w:jc w:val="both"/>
        <w:rPr>
          <w:rFonts w:ascii="Times New Roman" w:eastAsia="Cambria" w:hAnsi="Times New Roman"/>
          <w:color w:val="FF0000"/>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Sprawdzając spełnienie tego warunku należy przeanalizować dokumenty odnoszące się </w:t>
      </w:r>
      <w:r w:rsidRPr="008F5AA6">
        <w:rPr>
          <w:rFonts w:ascii="Times New Roman" w:eastAsia="Cambria" w:hAnsi="Times New Roman"/>
          <w:sz w:val="24"/>
          <w:szCs w:val="24"/>
        </w:rPr>
        <w:br/>
        <w:t xml:space="preserve">do planowanych przywozów towarów, które pozostają w związku z danym wnioskiem </w:t>
      </w:r>
      <w:r w:rsidRPr="008F5AA6">
        <w:rPr>
          <w:rFonts w:ascii="Times New Roman" w:eastAsia="Cambria" w:hAnsi="Times New Roman"/>
          <w:sz w:val="24"/>
          <w:szCs w:val="24"/>
        </w:rPr>
        <w:br/>
        <w:t xml:space="preserve">(np. kontrakty sprzedaży, umowy licencyjne, umowy dotyczące usług transportowych, polisy ubezpieczeniowe).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Ponadto źródłem informacji na temat wartości celnej, która mogłaby </w:t>
      </w:r>
      <w:r w:rsidR="00284E92">
        <w:rPr>
          <w:rFonts w:ascii="Times New Roman" w:eastAsia="Cambria" w:hAnsi="Times New Roman"/>
          <w:sz w:val="24"/>
          <w:szCs w:val="24"/>
        </w:rPr>
        <w:t xml:space="preserve">zostać </w:t>
      </w:r>
      <w:r w:rsidRPr="008F5AA6">
        <w:rPr>
          <w:rFonts w:ascii="Times New Roman" w:eastAsia="Cambria" w:hAnsi="Times New Roman"/>
          <w:sz w:val="24"/>
          <w:szCs w:val="24"/>
        </w:rPr>
        <w:t xml:space="preserve">wyliczona </w:t>
      </w:r>
      <w:r w:rsidR="004C3866">
        <w:rPr>
          <w:rFonts w:ascii="Times New Roman" w:eastAsia="Cambria" w:hAnsi="Times New Roman"/>
          <w:sz w:val="24"/>
          <w:szCs w:val="24"/>
        </w:rPr>
        <w:br/>
      </w:r>
      <w:r w:rsidRPr="008F5AA6">
        <w:rPr>
          <w:rFonts w:ascii="Times New Roman" w:eastAsia="Cambria" w:hAnsi="Times New Roman"/>
          <w:sz w:val="24"/>
          <w:szCs w:val="24"/>
        </w:rPr>
        <w:t xml:space="preserve">w przypadku braku pozwolenia, mogą być także </w:t>
      </w:r>
      <w:r w:rsidRPr="008F5AA6">
        <w:rPr>
          <w:rFonts w:ascii="Times New Roman" w:eastAsia="Cambria" w:hAnsi="Times New Roman"/>
          <w:b/>
          <w:sz w:val="24"/>
          <w:szCs w:val="24"/>
        </w:rPr>
        <w:t>historyczne dane</w:t>
      </w:r>
      <w:r w:rsidRPr="008F5AA6">
        <w:rPr>
          <w:rFonts w:ascii="Times New Roman" w:eastAsia="Cambria" w:hAnsi="Times New Roman"/>
          <w:sz w:val="24"/>
          <w:szCs w:val="24"/>
        </w:rPr>
        <w:t xml:space="preserve"> odnoszące się do wartości celnych ustalonych przy okazji wcześniejszych przywozów towarów w związku z realizacją zawartych przez tego samego kupującego i sprzedającego kontraktów sprzedaży, których przedmiotem były towary identyczne lub podobne do tych towarów, które mają być sprowadzane przez wnioskodawcę na obszar celny UE.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27"/>
        </w:numPr>
        <w:tabs>
          <w:tab w:val="left" w:pos="0"/>
        </w:tabs>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b/>
          <w:sz w:val="24"/>
          <w:szCs w:val="24"/>
        </w:rPr>
        <w:t xml:space="preserve">Warunki podmiotowe – art. 71 ust. 2 lit. a) – c) </w:t>
      </w:r>
      <w:r w:rsidR="00571BEE">
        <w:rPr>
          <w:rFonts w:ascii="Times New Roman" w:eastAsia="Cambria" w:hAnsi="Times New Roman"/>
          <w:b/>
          <w:sz w:val="24"/>
          <w:szCs w:val="24"/>
        </w:rPr>
        <w:t xml:space="preserve">UKC </w:t>
      </w:r>
      <w:r w:rsidRPr="008F5AA6">
        <w:rPr>
          <w:rFonts w:ascii="Times New Roman" w:eastAsia="Cambria" w:hAnsi="Times New Roman"/>
          <w:b/>
          <w:sz w:val="24"/>
          <w:szCs w:val="24"/>
        </w:rPr>
        <w:t xml:space="preserve">RD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u w:val="single"/>
        </w:rPr>
      </w:pPr>
    </w:p>
    <w:p w:rsidR="008F5AA6" w:rsidRPr="008F5AA6" w:rsidRDefault="008F5AA6" w:rsidP="008F5AA6">
      <w:pPr>
        <w:numPr>
          <w:ilvl w:val="0"/>
          <w:numId w:val="33"/>
        </w:numPr>
        <w:autoSpaceDE w:val="0"/>
        <w:autoSpaceDN w:val="0"/>
        <w:adjustRightInd w:val="0"/>
        <w:spacing w:after="0" w:line="360" w:lineRule="auto"/>
        <w:jc w:val="both"/>
        <w:rPr>
          <w:rFonts w:ascii="Times New Roman" w:eastAsia="Cambria" w:hAnsi="Times New Roman"/>
          <w:color w:val="006600"/>
          <w:sz w:val="24"/>
          <w:szCs w:val="24"/>
          <w:u w:val="single"/>
        </w:rPr>
      </w:pPr>
      <w:r w:rsidRPr="008F5AA6">
        <w:rPr>
          <w:rFonts w:ascii="Times New Roman" w:eastAsia="Calibri" w:hAnsi="Times New Roman"/>
          <w:sz w:val="24"/>
          <w:szCs w:val="24"/>
        </w:rPr>
        <w:t xml:space="preserve">Brak poważnego naruszenia lub powtarzających się naruszeń przepisów prawa celnego </w:t>
      </w:r>
      <w:r w:rsidRPr="008F5AA6">
        <w:rPr>
          <w:rFonts w:ascii="Times New Roman" w:eastAsia="Calibri" w:hAnsi="Times New Roman"/>
          <w:sz w:val="24"/>
          <w:szCs w:val="24"/>
        </w:rPr>
        <w:br/>
        <w:t xml:space="preserve">i przepisów podatkowych, w tym brak skazania za poważne przestępstwo karne związane </w:t>
      </w:r>
      <w:r w:rsidRPr="008F5AA6">
        <w:rPr>
          <w:rFonts w:ascii="Times New Roman" w:eastAsia="Calibri" w:hAnsi="Times New Roman"/>
          <w:sz w:val="24"/>
          <w:szCs w:val="24"/>
        </w:rPr>
        <w:br/>
        <w:t xml:space="preserve">z działalnością gospodarczą wnioskodawcy (bezpośrednie odesłanie do przepisów </w:t>
      </w:r>
      <w:r w:rsidRPr="008F5AA6">
        <w:rPr>
          <w:rFonts w:ascii="Times New Roman" w:eastAsia="Calibri" w:hAnsi="Times New Roman"/>
          <w:b/>
          <w:sz w:val="24"/>
          <w:szCs w:val="24"/>
        </w:rPr>
        <w:t>art. 39 lit. a) UKC</w:t>
      </w:r>
      <w:r w:rsidRPr="008F5AA6">
        <w:rPr>
          <w:rFonts w:ascii="Times New Roman" w:eastAsia="Calibri" w:hAnsi="Times New Roman"/>
          <w:sz w:val="24"/>
          <w:szCs w:val="24"/>
        </w:rPr>
        <w:t>).</w:t>
      </w:r>
    </w:p>
    <w:p w:rsidR="008F5AA6" w:rsidRDefault="008F5AA6" w:rsidP="008F5AA6">
      <w:pPr>
        <w:autoSpaceDE w:val="0"/>
        <w:autoSpaceDN w:val="0"/>
        <w:adjustRightInd w:val="0"/>
        <w:spacing w:after="0" w:line="360" w:lineRule="auto"/>
        <w:ind w:left="360"/>
        <w:rPr>
          <w:rFonts w:ascii="Times New Roman" w:eastAsia="Cambria" w:hAnsi="Times New Roman"/>
          <w:sz w:val="24"/>
          <w:szCs w:val="24"/>
          <w:u w:val="single"/>
        </w:rPr>
      </w:pPr>
    </w:p>
    <w:p w:rsidR="00571BEE" w:rsidRDefault="00571BEE" w:rsidP="00E9089F">
      <w:pPr>
        <w:autoSpaceDE w:val="0"/>
        <w:autoSpaceDN w:val="0"/>
        <w:adjustRightInd w:val="0"/>
        <w:spacing w:after="0" w:line="360" w:lineRule="auto"/>
        <w:ind w:left="360"/>
        <w:jc w:val="both"/>
        <w:rPr>
          <w:rFonts w:ascii="Times New Roman" w:eastAsia="Cambria" w:hAnsi="Times New Roman"/>
          <w:sz w:val="24"/>
          <w:szCs w:val="24"/>
          <w:u w:val="single"/>
        </w:rPr>
      </w:pPr>
      <w:r>
        <w:rPr>
          <w:rFonts w:ascii="Times New Roman" w:eastAsia="Cambria" w:hAnsi="Times New Roman"/>
          <w:sz w:val="24"/>
          <w:szCs w:val="24"/>
          <w:u w:val="single"/>
        </w:rPr>
        <w:lastRenderedPageBreak/>
        <w:t xml:space="preserve">Przepisy art. 24 UKC RW mówią o </w:t>
      </w:r>
      <w:r w:rsidR="00E9089F">
        <w:rPr>
          <w:rFonts w:ascii="Times New Roman" w:eastAsia="Cambria" w:hAnsi="Times New Roman"/>
          <w:sz w:val="24"/>
          <w:szCs w:val="24"/>
          <w:u w:val="single"/>
        </w:rPr>
        <w:t xml:space="preserve">tym, kiedy kryterium określone w przepisach </w:t>
      </w:r>
      <w:r w:rsidR="00E9089F">
        <w:rPr>
          <w:rFonts w:ascii="Times New Roman" w:eastAsia="Cambria" w:hAnsi="Times New Roman"/>
          <w:sz w:val="24"/>
          <w:szCs w:val="24"/>
          <w:u w:val="single"/>
        </w:rPr>
        <w:br/>
        <w:t xml:space="preserve">art. 39 lit. a) </w:t>
      </w:r>
      <w:r w:rsidR="00E17635">
        <w:rPr>
          <w:rFonts w:ascii="Times New Roman" w:eastAsia="Cambria" w:hAnsi="Times New Roman"/>
          <w:sz w:val="24"/>
          <w:szCs w:val="24"/>
          <w:u w:val="single"/>
        </w:rPr>
        <w:t>UKC uważa</w:t>
      </w:r>
      <w:r w:rsidR="00E9089F">
        <w:rPr>
          <w:rFonts w:ascii="Times New Roman" w:eastAsia="Cambria" w:hAnsi="Times New Roman"/>
          <w:sz w:val="24"/>
          <w:szCs w:val="24"/>
          <w:u w:val="single"/>
        </w:rPr>
        <w:t xml:space="preserve"> się za spełnione.  </w:t>
      </w:r>
      <w:r>
        <w:rPr>
          <w:rFonts w:ascii="Times New Roman" w:eastAsia="Cambria" w:hAnsi="Times New Roman"/>
          <w:sz w:val="24"/>
          <w:szCs w:val="24"/>
          <w:u w:val="single"/>
        </w:rPr>
        <w:t xml:space="preserve">  </w:t>
      </w:r>
    </w:p>
    <w:p w:rsidR="00571BEE" w:rsidRPr="008F5AA6" w:rsidRDefault="00571BEE" w:rsidP="008F5AA6">
      <w:pPr>
        <w:autoSpaceDE w:val="0"/>
        <w:autoSpaceDN w:val="0"/>
        <w:adjustRightInd w:val="0"/>
        <w:spacing w:after="0" w:line="360" w:lineRule="auto"/>
        <w:ind w:left="360"/>
        <w:rPr>
          <w:rFonts w:ascii="Times New Roman" w:eastAsia="Cambria" w:hAnsi="Times New Roman"/>
          <w:sz w:val="24"/>
          <w:szCs w:val="24"/>
          <w:u w:val="single"/>
        </w:rPr>
      </w:pPr>
    </w:p>
    <w:p w:rsidR="008F5AA6" w:rsidRPr="008F5AA6" w:rsidRDefault="008F5AA6" w:rsidP="008F5AA6">
      <w:pPr>
        <w:numPr>
          <w:ilvl w:val="0"/>
          <w:numId w:val="33"/>
        </w:numPr>
        <w:autoSpaceDE w:val="0"/>
        <w:autoSpaceDN w:val="0"/>
        <w:adjustRightInd w:val="0"/>
        <w:spacing w:after="0" w:line="360" w:lineRule="auto"/>
        <w:jc w:val="both"/>
        <w:rPr>
          <w:rFonts w:ascii="Times New Roman" w:eastAsia="Cambria" w:hAnsi="Times New Roman"/>
          <w:color w:val="006600"/>
          <w:sz w:val="24"/>
          <w:szCs w:val="24"/>
          <w:u w:val="single"/>
        </w:rPr>
      </w:pPr>
      <w:r w:rsidRPr="008F5AA6">
        <w:rPr>
          <w:rFonts w:ascii="Times New Roman" w:eastAsia="Calibri" w:hAnsi="Times New Roman"/>
          <w:sz w:val="24"/>
          <w:szCs w:val="24"/>
        </w:rPr>
        <w:t>Utrzymywanie systemu księgowego zgodnie z ogólnie przyjętymi zasadami rachunkowości</w:t>
      </w:r>
      <w:r w:rsidRPr="008F5AA6">
        <w:rPr>
          <w:rFonts w:ascii="Times New Roman" w:eastAsia="Calibri" w:hAnsi="Times New Roman"/>
          <w:sz w:val="24"/>
          <w:szCs w:val="24"/>
          <w:vertAlign w:val="superscript"/>
        </w:rPr>
        <w:footnoteReference w:id="3"/>
      </w:r>
      <w:r w:rsidRPr="008F5AA6">
        <w:rPr>
          <w:rFonts w:ascii="Times New Roman" w:eastAsia="Calibri" w:hAnsi="Times New Roman"/>
          <w:sz w:val="24"/>
          <w:szCs w:val="24"/>
        </w:rPr>
        <w:t xml:space="preserve"> stosowanymi przez państwo członkowskie, w którym prowadzona jest księgowość, ułatwiającego kontrolę celną opartą na audycie; system księgowy obejmuje dane historyczne na potrzeby przedstawienia ścieżki audytu od chwili wprowadzenia danych do akt (pośrednie odesłanie do przepisów </w:t>
      </w:r>
      <w:r w:rsidRPr="008F5AA6">
        <w:rPr>
          <w:rFonts w:ascii="Times New Roman" w:eastAsia="Calibri" w:hAnsi="Times New Roman"/>
          <w:b/>
          <w:sz w:val="24"/>
          <w:szCs w:val="24"/>
        </w:rPr>
        <w:t>art. 25 ust. 1 lit. a)</w:t>
      </w:r>
      <w:r w:rsidRPr="008F5AA6">
        <w:rPr>
          <w:rFonts w:ascii="Times New Roman" w:eastAsia="Calibri" w:hAnsi="Times New Roman"/>
          <w:sz w:val="24"/>
          <w:szCs w:val="24"/>
        </w:rPr>
        <w:t xml:space="preserve"> </w:t>
      </w:r>
      <w:r w:rsidRPr="008F5AA6">
        <w:rPr>
          <w:rFonts w:ascii="Times New Roman" w:eastAsia="Calibri" w:hAnsi="Times New Roman"/>
          <w:i/>
          <w:sz w:val="24"/>
          <w:szCs w:val="24"/>
        </w:rPr>
        <w:t>r</w:t>
      </w:r>
      <w:r w:rsidRPr="008F5AA6">
        <w:rPr>
          <w:rFonts w:ascii="Times New Roman" w:hAnsi="Times New Roman"/>
          <w:i/>
          <w:sz w:val="24"/>
          <w:szCs w:val="24"/>
          <w:lang w:eastAsia="pl-PL"/>
        </w:rPr>
        <w:t xml:space="preserve">ozporządzenia wykonawczego Komisji (UE) 2015/2447 z dnia 24 listopada 2015 r. ustanawiającego szczegółowe zasady wykonania niektórych przepisów rozporządzenia </w:t>
      </w:r>
      <w:r w:rsidR="00284E92">
        <w:rPr>
          <w:rFonts w:ascii="Times New Roman" w:hAnsi="Times New Roman"/>
          <w:i/>
          <w:sz w:val="24"/>
          <w:szCs w:val="24"/>
          <w:lang w:eastAsia="pl-PL"/>
        </w:rPr>
        <w:t>P</w:t>
      </w:r>
      <w:r w:rsidRPr="008F5AA6">
        <w:rPr>
          <w:rFonts w:ascii="Times New Roman" w:hAnsi="Times New Roman"/>
          <w:i/>
          <w:sz w:val="24"/>
          <w:szCs w:val="24"/>
          <w:lang w:eastAsia="pl-PL"/>
        </w:rPr>
        <w:t>arlamentu Europejskiego i Rady (UE) nr 952/2013 ustanawiającego unijny kodeks celny</w:t>
      </w:r>
      <w:r w:rsidRPr="008F5AA6">
        <w:rPr>
          <w:rFonts w:ascii="Times New Roman" w:hAnsi="Times New Roman"/>
          <w:i/>
          <w:sz w:val="24"/>
          <w:szCs w:val="24"/>
          <w:vertAlign w:val="superscript"/>
          <w:lang w:eastAsia="pl-PL"/>
        </w:rPr>
        <w:footnoteReference w:id="4"/>
      </w:r>
      <w:r w:rsidRPr="008F5AA6">
        <w:rPr>
          <w:rFonts w:ascii="Times New Roman" w:hAnsi="Times New Roman"/>
          <w:b/>
          <w:sz w:val="24"/>
          <w:szCs w:val="24"/>
          <w:lang w:eastAsia="pl-PL"/>
        </w:rPr>
        <w:t xml:space="preserve"> </w:t>
      </w:r>
      <w:r w:rsidRPr="008F5AA6">
        <w:rPr>
          <w:rFonts w:ascii="Times New Roman" w:hAnsi="Times New Roman"/>
          <w:sz w:val="24"/>
          <w:szCs w:val="24"/>
          <w:lang w:eastAsia="pl-PL"/>
        </w:rPr>
        <w:t xml:space="preserve">(w dalszej części wytycznych: </w:t>
      </w:r>
      <w:r w:rsidR="00571BEE">
        <w:rPr>
          <w:rFonts w:ascii="Times New Roman" w:hAnsi="Times New Roman"/>
          <w:sz w:val="24"/>
          <w:szCs w:val="24"/>
          <w:lang w:eastAsia="pl-PL"/>
        </w:rPr>
        <w:t xml:space="preserve">UKC </w:t>
      </w:r>
      <w:r w:rsidRPr="008F5AA6">
        <w:rPr>
          <w:rFonts w:ascii="Times New Roman" w:hAnsi="Times New Roman"/>
          <w:sz w:val="24"/>
          <w:szCs w:val="24"/>
          <w:lang w:eastAsia="pl-PL"/>
        </w:rPr>
        <w:t>RW</w:t>
      </w:r>
      <w:r w:rsidRPr="008F5AA6">
        <w:rPr>
          <w:rFonts w:ascii="Times New Roman" w:eastAsia="Calibri" w:hAnsi="Times New Roman"/>
          <w:sz w:val="24"/>
          <w:szCs w:val="24"/>
        </w:rPr>
        <w:t>).</w:t>
      </w:r>
    </w:p>
    <w:p w:rsidR="008F5AA6" w:rsidRPr="008F5AA6" w:rsidRDefault="008F5AA6" w:rsidP="008F5AA6">
      <w:pPr>
        <w:spacing w:after="0" w:line="360" w:lineRule="auto"/>
        <w:ind w:left="708"/>
        <w:rPr>
          <w:rFonts w:ascii="Times New Roman" w:eastAsia="Cambria" w:hAnsi="Times New Roman"/>
          <w:sz w:val="24"/>
          <w:szCs w:val="24"/>
          <w:u w:val="single"/>
        </w:rPr>
      </w:pPr>
    </w:p>
    <w:p w:rsidR="008F5AA6" w:rsidRPr="008F5AA6" w:rsidRDefault="008F5AA6" w:rsidP="008F5AA6">
      <w:pPr>
        <w:numPr>
          <w:ilvl w:val="0"/>
          <w:numId w:val="33"/>
        </w:numPr>
        <w:autoSpaceDE w:val="0"/>
        <w:autoSpaceDN w:val="0"/>
        <w:adjustRightInd w:val="0"/>
        <w:spacing w:after="0" w:line="360" w:lineRule="auto"/>
        <w:jc w:val="both"/>
        <w:rPr>
          <w:rFonts w:ascii="Times New Roman" w:eastAsia="Cambria" w:hAnsi="Times New Roman"/>
          <w:sz w:val="24"/>
          <w:szCs w:val="24"/>
          <w:u w:val="single"/>
        </w:rPr>
      </w:pPr>
      <w:r w:rsidRPr="008F5AA6">
        <w:rPr>
          <w:rFonts w:ascii="Times New Roman" w:eastAsia="Calibri" w:hAnsi="Times New Roman"/>
          <w:sz w:val="24"/>
          <w:szCs w:val="24"/>
        </w:rPr>
        <w:t>Posiadanie struktury administracyjnej odpowiedniej do charakteru i rozmiaru prowadzonej przez siebie działalności, która umożliwia zarządzanie przepływem towarów, a także przeprowadzanie kontroli wewnętrznych zapewniających możliwość wykrywania nielegalnych lub nieprawidłowych transakcji</w:t>
      </w:r>
      <w:r w:rsidRPr="008F5AA6">
        <w:rPr>
          <w:rFonts w:ascii="Times New Roman" w:eastAsia="Calibri" w:hAnsi="Times New Roman"/>
          <w:b/>
          <w:sz w:val="24"/>
          <w:szCs w:val="24"/>
        </w:rPr>
        <w:t xml:space="preserve"> </w:t>
      </w:r>
      <w:r w:rsidRPr="008F5AA6">
        <w:rPr>
          <w:rFonts w:ascii="Times New Roman" w:eastAsia="Calibri" w:hAnsi="Times New Roman"/>
          <w:sz w:val="24"/>
          <w:szCs w:val="24"/>
        </w:rPr>
        <w:t xml:space="preserve">(pośrednie odesłanie do przepisów </w:t>
      </w:r>
      <w:r w:rsidRPr="008F5AA6">
        <w:rPr>
          <w:rFonts w:ascii="Times New Roman" w:eastAsia="Calibri" w:hAnsi="Times New Roman"/>
          <w:b/>
          <w:sz w:val="24"/>
          <w:szCs w:val="24"/>
        </w:rPr>
        <w:t xml:space="preserve">art. 25 ust. 1 lit. f) </w:t>
      </w:r>
      <w:r w:rsidR="00571BEE">
        <w:rPr>
          <w:rFonts w:ascii="Times New Roman" w:eastAsia="Calibri" w:hAnsi="Times New Roman"/>
          <w:b/>
          <w:sz w:val="24"/>
          <w:szCs w:val="24"/>
        </w:rPr>
        <w:t xml:space="preserve">UKC </w:t>
      </w:r>
      <w:r w:rsidRPr="008F5AA6">
        <w:rPr>
          <w:rFonts w:ascii="Times New Roman" w:eastAsia="Calibri" w:hAnsi="Times New Roman"/>
          <w:b/>
          <w:sz w:val="24"/>
          <w:szCs w:val="24"/>
        </w:rPr>
        <w:t>RW</w:t>
      </w:r>
      <w:r w:rsidRPr="008F5AA6">
        <w:rPr>
          <w:rFonts w:ascii="Times New Roman" w:eastAsia="Calibri" w:hAnsi="Times New Roman"/>
          <w:sz w:val="24"/>
          <w:szCs w:val="24"/>
        </w:rPr>
        <w:t>).</w:t>
      </w:r>
    </w:p>
    <w:p w:rsidR="008F5AA6" w:rsidRPr="008F5AA6" w:rsidRDefault="008F5AA6" w:rsidP="008F5AA6">
      <w:pPr>
        <w:autoSpaceDE w:val="0"/>
        <w:autoSpaceDN w:val="0"/>
        <w:adjustRightInd w:val="0"/>
        <w:spacing w:after="0" w:line="360" w:lineRule="auto"/>
        <w:jc w:val="both"/>
        <w:rPr>
          <w:rFonts w:ascii="Times New Roman" w:eastAsia="Cambria" w:hAnsi="Times New Roman"/>
          <w:b/>
          <w:sz w:val="24"/>
          <w:szCs w:val="24"/>
          <w:u w:val="single"/>
        </w:rPr>
      </w:pPr>
    </w:p>
    <w:p w:rsidR="008F5AA6" w:rsidRPr="008F5AA6" w:rsidRDefault="008F5AA6" w:rsidP="008F5AA6">
      <w:pPr>
        <w:autoSpaceDE w:val="0"/>
        <w:autoSpaceDN w:val="0"/>
        <w:adjustRightInd w:val="0"/>
        <w:spacing w:after="0" w:line="360" w:lineRule="auto"/>
        <w:jc w:val="both"/>
        <w:rPr>
          <w:rFonts w:ascii="Times New Roman" w:eastAsia="Cambria" w:hAnsi="Times New Roman"/>
          <w:b/>
          <w:sz w:val="24"/>
          <w:szCs w:val="24"/>
          <w:u w:val="single"/>
        </w:rPr>
      </w:pPr>
      <w:r w:rsidRPr="008F5AA6">
        <w:rPr>
          <w:rFonts w:ascii="Times New Roman" w:eastAsia="Cambria" w:hAnsi="Times New Roman"/>
          <w:b/>
          <w:sz w:val="24"/>
          <w:szCs w:val="24"/>
          <w:u w:val="single"/>
        </w:rPr>
        <w:t xml:space="preserve">Wszystkie warunki przedmiotowe i podmiotowe muszą być spełnione łącznie.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27"/>
        </w:numPr>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b/>
          <w:sz w:val="24"/>
          <w:szCs w:val="24"/>
        </w:rPr>
        <w:t>Gdy wnioskodawca posiada status upoważnionego przedsiębiorcy (AEO)</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Niektóre kryteria podmiotowe przyznania pozwolenia na uproszczone określanie elementów wartości celnej </w:t>
      </w:r>
      <w:r w:rsidRPr="00284E92">
        <w:rPr>
          <w:rFonts w:ascii="Times New Roman" w:eastAsia="Cambria" w:hAnsi="Times New Roman"/>
          <w:b/>
          <w:sz w:val="24"/>
          <w:szCs w:val="24"/>
        </w:rPr>
        <w:t>są takie same</w:t>
      </w:r>
      <w:r w:rsidRPr="008F5AA6">
        <w:rPr>
          <w:rFonts w:ascii="Times New Roman" w:eastAsia="Cambria" w:hAnsi="Times New Roman"/>
          <w:sz w:val="24"/>
          <w:szCs w:val="24"/>
        </w:rPr>
        <w:t xml:space="preserve"> jak kryteria określone dla podmiotów ubiegających się </w:t>
      </w:r>
      <w:r w:rsidRPr="008F5AA6">
        <w:rPr>
          <w:rFonts w:ascii="Times New Roman" w:eastAsia="Cambria" w:hAnsi="Times New Roman"/>
          <w:sz w:val="24"/>
          <w:szCs w:val="24"/>
        </w:rPr>
        <w:br/>
        <w:t xml:space="preserve">o przyznanie statusu AEO (art. 71 ust. 2 lit. a) </w:t>
      </w:r>
      <w:r w:rsidR="00E9089F">
        <w:rPr>
          <w:rFonts w:ascii="Times New Roman" w:eastAsia="Cambria" w:hAnsi="Times New Roman"/>
          <w:sz w:val="24"/>
          <w:szCs w:val="24"/>
        </w:rPr>
        <w:t xml:space="preserve">UKC </w:t>
      </w:r>
      <w:r w:rsidRPr="008F5AA6">
        <w:rPr>
          <w:rFonts w:ascii="Times New Roman" w:eastAsia="Cambria" w:hAnsi="Times New Roman"/>
          <w:sz w:val="24"/>
          <w:szCs w:val="24"/>
        </w:rPr>
        <w:t xml:space="preserve">RD), a niektóre kryteria podmiotowe przyznania tego pozwolenia można </w:t>
      </w:r>
      <w:r w:rsidRPr="00284E92">
        <w:rPr>
          <w:rFonts w:ascii="Times New Roman" w:eastAsia="Cambria" w:hAnsi="Times New Roman"/>
          <w:b/>
          <w:sz w:val="24"/>
          <w:szCs w:val="24"/>
        </w:rPr>
        <w:t>uznać za równoważne</w:t>
      </w:r>
      <w:r w:rsidRPr="008F5AA6">
        <w:rPr>
          <w:rFonts w:ascii="Times New Roman" w:eastAsia="Cambria" w:hAnsi="Times New Roman"/>
          <w:sz w:val="24"/>
          <w:szCs w:val="24"/>
        </w:rPr>
        <w:t xml:space="preserve"> z kryteriami określonymi dla podmiotów ubiegających się o przyznanie statusu AEO (art. 71 ust. 2 lit. b) i c) </w:t>
      </w:r>
      <w:r w:rsidR="00E9089F">
        <w:rPr>
          <w:rFonts w:ascii="Times New Roman" w:eastAsia="Cambria" w:hAnsi="Times New Roman"/>
          <w:sz w:val="24"/>
          <w:szCs w:val="24"/>
        </w:rPr>
        <w:t xml:space="preserve">UKC </w:t>
      </w:r>
      <w:r w:rsidRPr="008F5AA6">
        <w:rPr>
          <w:rFonts w:ascii="Times New Roman" w:eastAsia="Cambria" w:hAnsi="Times New Roman"/>
          <w:sz w:val="24"/>
          <w:szCs w:val="24"/>
        </w:rPr>
        <w:t>RD).</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b/>
          <w:sz w:val="24"/>
          <w:szCs w:val="24"/>
        </w:rPr>
        <w:lastRenderedPageBreak/>
        <w:t xml:space="preserve">Podmiot zainteresowany uzyskaniem pozwolenia na korzystanie z uproszczenia dotyczącego ustalania kwot stanowiących część wartości celnej towarów nie musi posiadać statusu AEO. </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Jeżeli w chwili składania wniosku o wydanie przedmiotowego pozwolenia zainteresowany podmiot posiada status AEO, przyznany już po 1 maja 2016 r., to organy</w:t>
      </w:r>
      <w:r w:rsidR="0045450B">
        <w:rPr>
          <w:rFonts w:ascii="Times New Roman" w:eastAsia="Cambria" w:hAnsi="Times New Roman"/>
          <w:sz w:val="24"/>
          <w:szCs w:val="24"/>
        </w:rPr>
        <w:t xml:space="preserve"> celno-skarbowe</w:t>
      </w:r>
      <w:r w:rsidRPr="008F5AA6">
        <w:rPr>
          <w:rFonts w:ascii="Times New Roman" w:eastAsia="Cambria" w:hAnsi="Times New Roman"/>
          <w:sz w:val="24"/>
          <w:szCs w:val="24"/>
        </w:rPr>
        <w:t xml:space="preserve">, mając na uwadze przepisy art. 38 ust. 5 UKC, rozpatrując taki wniosek </w:t>
      </w:r>
      <w:r w:rsidRPr="008F5AA6">
        <w:rPr>
          <w:rFonts w:ascii="Times New Roman" w:eastAsia="Cambria" w:hAnsi="Times New Roman"/>
          <w:b/>
          <w:sz w:val="24"/>
          <w:szCs w:val="24"/>
        </w:rPr>
        <w:t>będą koncentrowały się wyłącznie na sprawdzeniu czy zachodzą przedmiotowe kryteria wydania pozwolenia, zdefiniowane</w:t>
      </w:r>
      <w:r w:rsidRPr="008F5AA6">
        <w:rPr>
          <w:rFonts w:ascii="Times New Roman" w:eastAsia="Cambria" w:hAnsi="Times New Roman"/>
          <w:sz w:val="24"/>
          <w:szCs w:val="24"/>
        </w:rPr>
        <w:t xml:space="preserve"> w przepisach art. 71 ust. 1 </w:t>
      </w:r>
      <w:r w:rsidR="00E9089F">
        <w:rPr>
          <w:rFonts w:ascii="Times New Roman" w:eastAsia="Cambria" w:hAnsi="Times New Roman"/>
          <w:sz w:val="24"/>
          <w:szCs w:val="24"/>
        </w:rPr>
        <w:t xml:space="preserve">UKC </w:t>
      </w:r>
      <w:r w:rsidRPr="008F5AA6">
        <w:rPr>
          <w:rFonts w:ascii="Times New Roman" w:eastAsia="Cambria" w:hAnsi="Times New Roman"/>
          <w:sz w:val="24"/>
          <w:szCs w:val="24"/>
        </w:rPr>
        <w:t>RD.</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Szczegółowe informacje na temat regulacji prawnych w zakresie przyznania statusu upoważnionego przedsiębiorcy (AEO) znajdują się na stronie internetowej Ministerstwa Finansów, w zakładce </w:t>
      </w:r>
      <w:r w:rsidRPr="008F5AA6">
        <w:rPr>
          <w:rFonts w:ascii="Times New Roman" w:eastAsia="Cambria" w:hAnsi="Times New Roman"/>
          <w:i/>
          <w:sz w:val="24"/>
          <w:szCs w:val="24"/>
        </w:rPr>
        <w:t>Cło</w:t>
      </w:r>
      <w:r w:rsidRPr="008F5AA6">
        <w:rPr>
          <w:rFonts w:ascii="Times New Roman" w:eastAsia="Cambria" w:hAnsi="Times New Roman"/>
          <w:sz w:val="24"/>
          <w:szCs w:val="24"/>
        </w:rPr>
        <w:t>:</w:t>
      </w:r>
    </w:p>
    <w:p w:rsidR="008F5AA6" w:rsidRPr="008F5AA6" w:rsidRDefault="008F5AA6" w:rsidP="008F5AA6">
      <w:pPr>
        <w:autoSpaceDE w:val="0"/>
        <w:autoSpaceDN w:val="0"/>
        <w:adjustRightInd w:val="0"/>
        <w:spacing w:after="0" w:line="360" w:lineRule="auto"/>
        <w:rPr>
          <w:rFonts w:ascii="Times New Roman" w:eastAsia="Cambria" w:hAnsi="Times New Roman"/>
          <w:color w:val="0000FF"/>
          <w:sz w:val="24"/>
          <w:szCs w:val="24"/>
          <w:u w:val="single"/>
        </w:rPr>
      </w:pPr>
    </w:p>
    <w:p w:rsidR="0040223E" w:rsidRDefault="00956BB3" w:rsidP="0040223E">
      <w:pPr>
        <w:autoSpaceDE w:val="0"/>
        <w:autoSpaceDN w:val="0"/>
        <w:adjustRightInd w:val="0"/>
        <w:spacing w:after="0" w:line="360" w:lineRule="auto"/>
        <w:jc w:val="both"/>
        <w:rPr>
          <w:rFonts w:ascii="Times New Roman" w:eastAsia="Cambria" w:hAnsi="Times New Roman"/>
          <w:sz w:val="24"/>
          <w:szCs w:val="24"/>
        </w:rPr>
      </w:pPr>
      <w:hyperlink r:id="rId11" w:history="1">
        <w:r w:rsidR="00655FEC" w:rsidRPr="00955931">
          <w:rPr>
            <w:rStyle w:val="Hipercze"/>
            <w:rFonts w:ascii="Times New Roman" w:eastAsia="Cambria" w:hAnsi="Times New Roman"/>
            <w:sz w:val="24"/>
            <w:szCs w:val="24"/>
          </w:rPr>
          <w:t>https://www.finanse.mf.gov.pl/clo/informacje-dla-przedsiebiorcow/aeo-i-uproszczenia-celne/aeo</w:t>
        </w:r>
      </w:hyperlink>
      <w:r w:rsidR="00655FEC">
        <w:rPr>
          <w:rFonts w:ascii="Times New Roman" w:eastAsia="Cambria" w:hAnsi="Times New Roman"/>
          <w:sz w:val="24"/>
          <w:szCs w:val="24"/>
        </w:rPr>
        <w:t xml:space="preserve"> </w:t>
      </w:r>
    </w:p>
    <w:p w:rsidR="0040223E" w:rsidRDefault="0040223E" w:rsidP="0040223E">
      <w:pPr>
        <w:autoSpaceDE w:val="0"/>
        <w:autoSpaceDN w:val="0"/>
        <w:adjustRightInd w:val="0"/>
        <w:spacing w:after="0" w:line="360" w:lineRule="auto"/>
        <w:jc w:val="both"/>
        <w:rPr>
          <w:rFonts w:ascii="Times New Roman" w:eastAsia="Cambria" w:hAnsi="Times New Roman"/>
          <w:sz w:val="24"/>
          <w:szCs w:val="24"/>
        </w:rPr>
      </w:pPr>
    </w:p>
    <w:p w:rsidR="0040223E" w:rsidRPr="00915843" w:rsidRDefault="0040223E" w:rsidP="0040223E">
      <w:pPr>
        <w:pStyle w:val="Akapitzlist"/>
        <w:numPr>
          <w:ilvl w:val="0"/>
          <w:numId w:val="46"/>
        </w:numPr>
        <w:autoSpaceDE w:val="0"/>
        <w:autoSpaceDN w:val="0"/>
        <w:adjustRightInd w:val="0"/>
        <w:spacing w:after="0" w:line="360" w:lineRule="auto"/>
        <w:jc w:val="both"/>
        <w:rPr>
          <w:rFonts w:ascii="Times New Roman" w:eastAsia="Cambria" w:hAnsi="Times New Roman"/>
          <w:b/>
          <w:color w:val="FF0000"/>
          <w:sz w:val="28"/>
          <w:szCs w:val="28"/>
        </w:rPr>
      </w:pPr>
      <w:r w:rsidRPr="00915843">
        <w:rPr>
          <w:rFonts w:ascii="Times New Roman" w:eastAsia="Cambria" w:hAnsi="Times New Roman"/>
          <w:b/>
          <w:color w:val="FF0000"/>
          <w:sz w:val="28"/>
          <w:szCs w:val="28"/>
        </w:rPr>
        <w:t xml:space="preserve">SKŁADANIE WNIOSKU O WYDANIE POZWOLENIA NA KORZYSTANIE Z UPROSZCZENIA I ZAKRES DANYCH </w:t>
      </w:r>
      <w:r w:rsidR="004C3866">
        <w:rPr>
          <w:rFonts w:ascii="Times New Roman" w:eastAsia="Cambria" w:hAnsi="Times New Roman"/>
          <w:b/>
          <w:color w:val="FF0000"/>
          <w:sz w:val="28"/>
          <w:szCs w:val="28"/>
        </w:rPr>
        <w:br/>
      </w:r>
      <w:r w:rsidRPr="00915843">
        <w:rPr>
          <w:rFonts w:ascii="Times New Roman" w:eastAsia="Cambria" w:hAnsi="Times New Roman"/>
          <w:b/>
          <w:color w:val="FF0000"/>
          <w:sz w:val="28"/>
          <w:szCs w:val="28"/>
        </w:rPr>
        <w:t xml:space="preserve">W </w:t>
      </w:r>
      <w:r w:rsidR="00EF1DE2" w:rsidRPr="00915843">
        <w:rPr>
          <w:rFonts w:ascii="Times New Roman" w:eastAsia="Cambria" w:hAnsi="Times New Roman"/>
          <w:b/>
          <w:color w:val="FF0000"/>
          <w:sz w:val="28"/>
          <w:szCs w:val="28"/>
        </w:rPr>
        <w:t>TAKIM WNIOSKU</w:t>
      </w:r>
      <w:r w:rsidRPr="00915843">
        <w:rPr>
          <w:rFonts w:ascii="Times New Roman" w:eastAsia="Cambria" w:hAnsi="Times New Roman"/>
          <w:b/>
          <w:color w:val="FF0000"/>
          <w:sz w:val="28"/>
          <w:szCs w:val="28"/>
        </w:rPr>
        <w:t xml:space="preserve">    </w:t>
      </w:r>
    </w:p>
    <w:p w:rsidR="0040223E" w:rsidRDefault="0040223E" w:rsidP="0040223E">
      <w:pPr>
        <w:autoSpaceDE w:val="0"/>
        <w:autoSpaceDN w:val="0"/>
        <w:adjustRightInd w:val="0"/>
        <w:spacing w:after="0" w:line="360" w:lineRule="auto"/>
        <w:jc w:val="both"/>
        <w:rPr>
          <w:rFonts w:ascii="Times New Roman" w:eastAsia="Cambria" w:hAnsi="Times New Roman"/>
          <w:sz w:val="24"/>
          <w:szCs w:val="24"/>
        </w:rPr>
      </w:pPr>
    </w:p>
    <w:p w:rsidR="0040223E" w:rsidRPr="0040223E" w:rsidRDefault="0040223E" w:rsidP="0040223E">
      <w:pPr>
        <w:pStyle w:val="Akapitzlist"/>
        <w:numPr>
          <w:ilvl w:val="0"/>
          <w:numId w:val="47"/>
        </w:numPr>
        <w:autoSpaceDE w:val="0"/>
        <w:autoSpaceDN w:val="0"/>
        <w:adjustRightInd w:val="0"/>
        <w:spacing w:after="0" w:line="360" w:lineRule="auto"/>
        <w:jc w:val="both"/>
        <w:rPr>
          <w:rFonts w:ascii="Times New Roman" w:eastAsia="Cambria" w:hAnsi="Times New Roman"/>
          <w:sz w:val="24"/>
          <w:szCs w:val="24"/>
        </w:rPr>
      </w:pPr>
      <w:r w:rsidRPr="0040223E">
        <w:rPr>
          <w:rFonts w:ascii="Times New Roman" w:eastAsia="Cambria" w:hAnsi="Times New Roman"/>
          <w:sz w:val="24"/>
          <w:szCs w:val="24"/>
        </w:rPr>
        <w:t xml:space="preserve">Wnioski i pozwolenia na korzystanie z uproszczenia dotyczącego ustalania kwot stanowiących część wartości celnej towarów procedowane są w elektronicznym unijnym systemie decyzji celnych w ramach UKC (CDS).  Szczegółowe informacje na temat składania wniosków o wydanie określonych pozwoleń celnych, w tym pozwolenia, o którym mowa w art. 73 UKC, zostały przedstawione na stronie internetowej Ministerstwa Finansów poświęconej PUESC:   </w:t>
      </w:r>
    </w:p>
    <w:p w:rsidR="0040223E" w:rsidRDefault="0040223E" w:rsidP="0040223E">
      <w:pPr>
        <w:autoSpaceDE w:val="0"/>
        <w:autoSpaceDN w:val="0"/>
        <w:adjustRightInd w:val="0"/>
        <w:spacing w:after="0" w:line="360" w:lineRule="auto"/>
        <w:jc w:val="both"/>
        <w:rPr>
          <w:rFonts w:ascii="Times New Roman" w:eastAsia="Cambria" w:hAnsi="Times New Roman"/>
          <w:sz w:val="24"/>
          <w:szCs w:val="24"/>
        </w:rPr>
      </w:pPr>
    </w:p>
    <w:p w:rsidR="0040223E" w:rsidRDefault="00956BB3" w:rsidP="0040223E">
      <w:pPr>
        <w:autoSpaceDE w:val="0"/>
        <w:autoSpaceDN w:val="0"/>
        <w:adjustRightInd w:val="0"/>
        <w:spacing w:after="0" w:line="360" w:lineRule="auto"/>
        <w:ind w:firstLine="360"/>
        <w:jc w:val="both"/>
        <w:rPr>
          <w:rFonts w:ascii="Times New Roman" w:eastAsia="Cambria" w:hAnsi="Times New Roman"/>
          <w:sz w:val="24"/>
          <w:szCs w:val="24"/>
        </w:rPr>
      </w:pPr>
      <w:hyperlink r:id="rId12" w:history="1">
        <w:r w:rsidR="0040223E" w:rsidRPr="00955931">
          <w:rPr>
            <w:rStyle w:val="Hipercze"/>
            <w:rFonts w:ascii="Times New Roman" w:eastAsia="Cambria" w:hAnsi="Times New Roman"/>
            <w:sz w:val="24"/>
            <w:szCs w:val="24"/>
          </w:rPr>
          <w:t>https://puesc.gov.pl/web/puesc/cds</w:t>
        </w:r>
      </w:hyperlink>
    </w:p>
    <w:p w:rsidR="0040223E" w:rsidRDefault="0040223E" w:rsidP="0040223E">
      <w:pPr>
        <w:autoSpaceDE w:val="0"/>
        <w:autoSpaceDN w:val="0"/>
        <w:adjustRightInd w:val="0"/>
        <w:spacing w:after="0" w:line="360" w:lineRule="auto"/>
        <w:ind w:firstLine="360"/>
        <w:jc w:val="both"/>
        <w:rPr>
          <w:rFonts w:ascii="Times New Roman" w:eastAsia="Cambria" w:hAnsi="Times New Roman"/>
          <w:sz w:val="24"/>
          <w:szCs w:val="24"/>
        </w:rPr>
      </w:pPr>
    </w:p>
    <w:p w:rsidR="00915843" w:rsidRDefault="00915843" w:rsidP="0040223E">
      <w:pPr>
        <w:autoSpaceDE w:val="0"/>
        <w:autoSpaceDN w:val="0"/>
        <w:adjustRightInd w:val="0"/>
        <w:spacing w:after="0" w:line="360" w:lineRule="auto"/>
        <w:ind w:firstLine="360"/>
        <w:jc w:val="both"/>
        <w:rPr>
          <w:rFonts w:ascii="Times New Roman" w:eastAsia="Cambria" w:hAnsi="Times New Roman"/>
          <w:sz w:val="24"/>
          <w:szCs w:val="24"/>
        </w:rPr>
      </w:pPr>
    </w:p>
    <w:p w:rsidR="00915843" w:rsidRDefault="00915843" w:rsidP="0040223E">
      <w:pPr>
        <w:autoSpaceDE w:val="0"/>
        <w:autoSpaceDN w:val="0"/>
        <w:adjustRightInd w:val="0"/>
        <w:spacing w:after="0" w:line="360" w:lineRule="auto"/>
        <w:ind w:firstLine="360"/>
        <w:jc w:val="both"/>
        <w:rPr>
          <w:rFonts w:ascii="Times New Roman" w:eastAsia="Cambria" w:hAnsi="Times New Roman"/>
          <w:sz w:val="24"/>
          <w:szCs w:val="24"/>
        </w:rPr>
      </w:pPr>
    </w:p>
    <w:p w:rsidR="00915843" w:rsidRDefault="00915843" w:rsidP="0040223E">
      <w:pPr>
        <w:autoSpaceDE w:val="0"/>
        <w:autoSpaceDN w:val="0"/>
        <w:adjustRightInd w:val="0"/>
        <w:spacing w:after="0" w:line="360" w:lineRule="auto"/>
        <w:ind w:firstLine="360"/>
        <w:jc w:val="both"/>
        <w:rPr>
          <w:rFonts w:ascii="Times New Roman" w:eastAsia="Cambria" w:hAnsi="Times New Roman"/>
          <w:sz w:val="24"/>
          <w:szCs w:val="24"/>
        </w:rPr>
      </w:pPr>
    </w:p>
    <w:p w:rsidR="0040223E" w:rsidRPr="00464619" w:rsidRDefault="0040223E" w:rsidP="0040223E">
      <w:pPr>
        <w:autoSpaceDE w:val="0"/>
        <w:autoSpaceDN w:val="0"/>
        <w:adjustRightInd w:val="0"/>
        <w:spacing w:after="0" w:line="360" w:lineRule="auto"/>
        <w:ind w:left="360"/>
        <w:jc w:val="both"/>
        <w:rPr>
          <w:rFonts w:ascii="Times New Roman" w:eastAsia="Cambria" w:hAnsi="Times New Roman"/>
          <w:b/>
          <w:sz w:val="24"/>
          <w:szCs w:val="24"/>
        </w:rPr>
      </w:pPr>
      <w:r w:rsidRPr="00464619">
        <w:rPr>
          <w:rFonts w:ascii="Times New Roman" w:eastAsia="Cambria" w:hAnsi="Times New Roman"/>
          <w:b/>
          <w:sz w:val="24"/>
          <w:szCs w:val="24"/>
        </w:rPr>
        <w:lastRenderedPageBreak/>
        <w:t xml:space="preserve">Uwaga: </w:t>
      </w:r>
    </w:p>
    <w:p w:rsidR="0040223E" w:rsidRPr="00284E92" w:rsidRDefault="0040223E" w:rsidP="0040223E">
      <w:pPr>
        <w:autoSpaceDE w:val="0"/>
        <w:autoSpaceDN w:val="0"/>
        <w:adjustRightInd w:val="0"/>
        <w:spacing w:after="0" w:line="360" w:lineRule="auto"/>
        <w:ind w:left="360"/>
        <w:jc w:val="both"/>
        <w:rPr>
          <w:rFonts w:ascii="Times New Roman" w:eastAsia="Cambria" w:hAnsi="Times New Roman"/>
          <w:b/>
          <w:sz w:val="24"/>
          <w:szCs w:val="24"/>
        </w:rPr>
      </w:pPr>
    </w:p>
    <w:p w:rsidR="00EF1FC1" w:rsidRDefault="0040223E" w:rsidP="0040223E">
      <w:pPr>
        <w:autoSpaceDE w:val="0"/>
        <w:autoSpaceDN w:val="0"/>
        <w:adjustRightInd w:val="0"/>
        <w:spacing w:after="0" w:line="360" w:lineRule="auto"/>
        <w:ind w:left="360"/>
        <w:jc w:val="both"/>
        <w:rPr>
          <w:rFonts w:ascii="Times New Roman" w:eastAsia="Cambria" w:hAnsi="Times New Roman"/>
          <w:sz w:val="24"/>
          <w:szCs w:val="24"/>
        </w:rPr>
      </w:pPr>
      <w:r>
        <w:rPr>
          <w:rFonts w:ascii="Times New Roman" w:eastAsia="Cambria" w:hAnsi="Times New Roman"/>
          <w:sz w:val="24"/>
          <w:szCs w:val="24"/>
        </w:rPr>
        <w:t xml:space="preserve">W przypadku wniosków i pozwoleń na uproszczone ustalanie kwot stanowiących część wartości celnej towarów, przedsiębiorca jest zobowiązany do korzystania z platformy CDS </w:t>
      </w:r>
      <w:r w:rsidRPr="008C17B9">
        <w:rPr>
          <w:rFonts w:ascii="Times New Roman" w:eastAsia="Cambria" w:hAnsi="Times New Roman"/>
          <w:b/>
          <w:sz w:val="24"/>
          <w:szCs w:val="24"/>
        </w:rPr>
        <w:t xml:space="preserve">niezależnie od tego czy pozwolenie to ma być stosowane tylko w Polsce czy także </w:t>
      </w:r>
      <w:r w:rsidRPr="008C17B9">
        <w:rPr>
          <w:rFonts w:ascii="Times New Roman" w:eastAsia="Cambria" w:hAnsi="Times New Roman"/>
          <w:b/>
          <w:sz w:val="24"/>
          <w:szCs w:val="24"/>
        </w:rPr>
        <w:br/>
        <w:t>w innych państwach członkowskich UE.</w:t>
      </w:r>
      <w:r>
        <w:rPr>
          <w:rFonts w:ascii="Times New Roman" w:eastAsia="Cambria" w:hAnsi="Times New Roman"/>
          <w:sz w:val="24"/>
          <w:szCs w:val="24"/>
        </w:rPr>
        <w:t xml:space="preserve">   </w:t>
      </w:r>
    </w:p>
    <w:p w:rsidR="00EF1FC1" w:rsidRDefault="00EF1FC1" w:rsidP="008F5AA6">
      <w:pPr>
        <w:autoSpaceDE w:val="0"/>
        <w:autoSpaceDN w:val="0"/>
        <w:adjustRightInd w:val="0"/>
        <w:spacing w:after="0" w:line="360" w:lineRule="auto"/>
        <w:jc w:val="both"/>
        <w:rPr>
          <w:rFonts w:ascii="Times New Roman" w:eastAsia="Cambria" w:hAnsi="Times New Roman"/>
          <w:sz w:val="24"/>
          <w:szCs w:val="24"/>
        </w:rPr>
      </w:pPr>
    </w:p>
    <w:p w:rsidR="000B545E" w:rsidRDefault="0040223E" w:rsidP="0040223E">
      <w:pPr>
        <w:pStyle w:val="Akapitzlist"/>
        <w:numPr>
          <w:ilvl w:val="0"/>
          <w:numId w:val="47"/>
        </w:numPr>
        <w:autoSpaceDE w:val="0"/>
        <w:autoSpaceDN w:val="0"/>
        <w:adjustRightInd w:val="0"/>
        <w:spacing w:after="0" w:line="360" w:lineRule="auto"/>
        <w:jc w:val="both"/>
        <w:rPr>
          <w:rFonts w:ascii="Times New Roman" w:eastAsia="Cambria" w:hAnsi="Times New Roman"/>
          <w:sz w:val="24"/>
          <w:szCs w:val="24"/>
        </w:rPr>
      </w:pPr>
      <w:r>
        <w:rPr>
          <w:rFonts w:ascii="Times New Roman" w:eastAsia="Cambria" w:hAnsi="Times New Roman"/>
          <w:sz w:val="24"/>
          <w:szCs w:val="24"/>
        </w:rPr>
        <w:t xml:space="preserve">Wymogi dotyczące danych dla wniosków i decyzji/pozwoleń celnych, w tym dla wniosku i pozwolenia na korzystanie z uproszczenia dotyczącego ustalania kwot stanowiących część wartości celnej towarów </w:t>
      </w:r>
      <w:r w:rsidR="000B545E" w:rsidRPr="000B545E">
        <w:rPr>
          <w:rFonts w:ascii="Times New Roman" w:eastAsia="Cambria" w:hAnsi="Times New Roman"/>
          <w:b/>
          <w:sz w:val="24"/>
          <w:szCs w:val="24"/>
        </w:rPr>
        <w:t>(kod – CVA)</w:t>
      </w:r>
      <w:r w:rsidR="000B545E">
        <w:rPr>
          <w:rFonts w:ascii="Times New Roman" w:eastAsia="Cambria" w:hAnsi="Times New Roman"/>
          <w:sz w:val="24"/>
          <w:szCs w:val="24"/>
        </w:rPr>
        <w:t xml:space="preserve"> </w:t>
      </w:r>
      <w:r>
        <w:rPr>
          <w:rFonts w:ascii="Times New Roman" w:eastAsia="Cambria" w:hAnsi="Times New Roman"/>
          <w:sz w:val="24"/>
          <w:szCs w:val="24"/>
        </w:rPr>
        <w:t xml:space="preserve">zostały określone przez prawodawcę unijnego w przepisach </w:t>
      </w:r>
      <w:r w:rsidRPr="00CC4138">
        <w:rPr>
          <w:rFonts w:ascii="Times New Roman" w:eastAsia="Cambria" w:hAnsi="Times New Roman"/>
          <w:i/>
          <w:sz w:val="24"/>
          <w:szCs w:val="24"/>
        </w:rPr>
        <w:t>załącznika A</w:t>
      </w:r>
      <w:r>
        <w:rPr>
          <w:rFonts w:ascii="Times New Roman" w:eastAsia="Cambria" w:hAnsi="Times New Roman"/>
          <w:sz w:val="24"/>
          <w:szCs w:val="24"/>
        </w:rPr>
        <w:t xml:space="preserve"> </w:t>
      </w:r>
      <w:r w:rsidR="000B545E">
        <w:rPr>
          <w:rFonts w:ascii="Times New Roman" w:eastAsia="Cambria" w:hAnsi="Times New Roman"/>
          <w:sz w:val="24"/>
          <w:szCs w:val="24"/>
        </w:rPr>
        <w:t xml:space="preserve">– </w:t>
      </w:r>
      <w:r w:rsidR="000B545E" w:rsidRPr="000B545E">
        <w:rPr>
          <w:rFonts w:ascii="Times New Roman" w:eastAsia="Cambria" w:hAnsi="Times New Roman"/>
          <w:i/>
          <w:sz w:val="24"/>
          <w:szCs w:val="24"/>
        </w:rPr>
        <w:t>Wspólne wymogi dotyczące danych dla wniosków i decyzji</w:t>
      </w:r>
      <w:r w:rsidR="000B545E">
        <w:rPr>
          <w:rFonts w:ascii="Times New Roman" w:eastAsia="Cambria" w:hAnsi="Times New Roman"/>
          <w:sz w:val="24"/>
          <w:szCs w:val="24"/>
        </w:rPr>
        <w:t xml:space="preserve"> </w:t>
      </w:r>
      <w:r>
        <w:rPr>
          <w:rFonts w:ascii="Times New Roman" w:eastAsia="Cambria" w:hAnsi="Times New Roman"/>
          <w:sz w:val="24"/>
          <w:szCs w:val="24"/>
        </w:rPr>
        <w:t>do</w:t>
      </w:r>
      <w:r w:rsidR="000B545E">
        <w:rPr>
          <w:rFonts w:ascii="Times New Roman" w:eastAsia="Cambria" w:hAnsi="Times New Roman"/>
          <w:sz w:val="24"/>
          <w:szCs w:val="24"/>
        </w:rPr>
        <w:t xml:space="preserve"> UKC RD oraz w przepisach </w:t>
      </w:r>
      <w:r w:rsidR="000B545E" w:rsidRPr="00CC4138">
        <w:rPr>
          <w:rFonts w:ascii="Times New Roman" w:eastAsia="Cambria" w:hAnsi="Times New Roman"/>
          <w:i/>
          <w:sz w:val="24"/>
          <w:szCs w:val="24"/>
        </w:rPr>
        <w:t>załącznika A</w:t>
      </w:r>
      <w:r w:rsidR="000B545E">
        <w:rPr>
          <w:rFonts w:ascii="Times New Roman" w:eastAsia="Cambria" w:hAnsi="Times New Roman"/>
          <w:sz w:val="24"/>
          <w:szCs w:val="24"/>
        </w:rPr>
        <w:t xml:space="preserve"> – </w:t>
      </w:r>
      <w:r w:rsidR="000B545E" w:rsidRPr="000B545E">
        <w:rPr>
          <w:rFonts w:ascii="Times New Roman" w:eastAsia="Cambria" w:hAnsi="Times New Roman"/>
          <w:i/>
          <w:sz w:val="24"/>
          <w:szCs w:val="24"/>
        </w:rPr>
        <w:t>Formaty i kody wspólnych wymogów dotyczących danych w odniesieniu do wniosków i decyzji</w:t>
      </w:r>
      <w:r w:rsidR="000B545E">
        <w:rPr>
          <w:rFonts w:ascii="Times New Roman" w:eastAsia="Cambria" w:hAnsi="Times New Roman"/>
          <w:sz w:val="24"/>
          <w:szCs w:val="24"/>
        </w:rPr>
        <w:t xml:space="preserve"> do UKC RW.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4"/>
        </w:numPr>
        <w:autoSpaceDE w:val="0"/>
        <w:autoSpaceDN w:val="0"/>
        <w:adjustRightInd w:val="0"/>
        <w:spacing w:after="0" w:line="360" w:lineRule="auto"/>
        <w:jc w:val="both"/>
        <w:rPr>
          <w:rFonts w:ascii="Times New Roman" w:eastAsia="Cambria" w:hAnsi="Times New Roman"/>
          <w:color w:val="FF0000"/>
          <w:sz w:val="28"/>
          <w:szCs w:val="28"/>
        </w:rPr>
      </w:pPr>
      <w:r w:rsidRPr="008F5AA6">
        <w:rPr>
          <w:rFonts w:ascii="Times New Roman" w:eastAsia="Cambria" w:hAnsi="Times New Roman"/>
          <w:b/>
          <w:color w:val="FF0000"/>
          <w:sz w:val="28"/>
          <w:szCs w:val="28"/>
        </w:rPr>
        <w:t xml:space="preserve">WŁAŚCIWOŚĆ MIEJSCOWA W SPRAWACH O ROZPATRZENIE WNIOSKU O WYDANIE POZWOLENIA </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W odniesieniu do pozwoleń wydawanych </w:t>
      </w:r>
      <w:r w:rsidR="00124F4D">
        <w:rPr>
          <w:rFonts w:ascii="Times New Roman" w:eastAsia="Cambria" w:hAnsi="Times New Roman"/>
          <w:sz w:val="24"/>
          <w:szCs w:val="24"/>
        </w:rPr>
        <w:t xml:space="preserve">na podstawie UKC </w:t>
      </w:r>
      <w:r w:rsidRPr="008F5AA6">
        <w:rPr>
          <w:rFonts w:ascii="Times New Roman" w:eastAsia="Cambria" w:hAnsi="Times New Roman"/>
          <w:sz w:val="24"/>
          <w:szCs w:val="24"/>
        </w:rPr>
        <w:t>przez organy celne możemy mówić o dwóch rodzajach właściwości miejscowej: tzw. dużej (właściwość państwa członkowskiego UE) i małej (właściwość organu w państwie członkowskim UE)</w:t>
      </w:r>
      <w:r w:rsidRPr="008F5AA6">
        <w:rPr>
          <w:rFonts w:ascii="Times New Roman" w:eastAsia="Cambria" w:hAnsi="Times New Roman"/>
          <w:b/>
          <w:sz w:val="24"/>
          <w:szCs w:val="24"/>
        </w:rPr>
        <w:t xml:space="preserve"> </w:t>
      </w:r>
      <w:r w:rsidRPr="008F5AA6">
        <w:rPr>
          <w:rFonts w:ascii="Times New Roman" w:eastAsia="Cambria" w:hAnsi="Times New Roman"/>
          <w:sz w:val="24"/>
          <w:szCs w:val="24"/>
        </w:rPr>
        <w:t xml:space="preserve">właściwości miejscowej.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5"/>
        </w:numPr>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b/>
          <w:sz w:val="24"/>
          <w:szCs w:val="24"/>
        </w:rPr>
        <w:t>Tzw. duża właściwość miejscowa (właściwość państwa członkowskiego UE)</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Wniosek o wydanie pozwolenia na uproszczone określanie elementów wartości celnej towarów składa się: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6"/>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t>w</w:t>
      </w:r>
      <w:proofErr w:type="gramEnd"/>
      <w:r w:rsidRPr="008F5AA6">
        <w:rPr>
          <w:rFonts w:ascii="Times New Roman" w:eastAsia="Cambria" w:hAnsi="Times New Roman"/>
          <w:sz w:val="24"/>
          <w:szCs w:val="24"/>
        </w:rPr>
        <w:t xml:space="preserve"> państwie członkowskim UE, w którym są prowadzone lub dostępne główne księgi rachunkowe wnioskodawcy na potrzeby celne </w:t>
      </w:r>
      <w:r w:rsidRPr="008F5AA6">
        <w:rPr>
          <w:rFonts w:ascii="Times New Roman" w:eastAsia="Cambria" w:hAnsi="Times New Roman"/>
          <w:b/>
          <w:sz w:val="24"/>
          <w:szCs w:val="24"/>
          <w:u w:val="single"/>
        </w:rPr>
        <w:t>i</w:t>
      </w:r>
      <w:r w:rsidRPr="008F5AA6">
        <w:rPr>
          <w:rFonts w:ascii="Times New Roman" w:eastAsia="Cambria" w:hAnsi="Times New Roman"/>
          <w:sz w:val="24"/>
          <w:szCs w:val="24"/>
        </w:rPr>
        <w:t xml:space="preserve"> w którym ma być prowadzona przynajmniej część działalności, której ma dotyczyć decyzja (art. 22 ust. 1 akapit trzeci UKC), </w:t>
      </w:r>
      <w:r w:rsidRPr="008F5AA6">
        <w:rPr>
          <w:rFonts w:ascii="Times New Roman" w:eastAsia="Cambria" w:hAnsi="Times New Roman"/>
          <w:b/>
          <w:sz w:val="24"/>
          <w:szCs w:val="24"/>
        </w:rPr>
        <w:t>lub</w:t>
      </w:r>
      <w:r w:rsidRPr="008F5AA6">
        <w:rPr>
          <w:rFonts w:ascii="Times New Roman" w:eastAsia="Cambria" w:hAnsi="Times New Roman"/>
          <w:sz w:val="24"/>
          <w:szCs w:val="24"/>
        </w:rPr>
        <w:t xml:space="preserve"> </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8F5AA6" w:rsidRPr="008F5AA6" w:rsidRDefault="008F5AA6" w:rsidP="008F5AA6">
      <w:pPr>
        <w:numPr>
          <w:ilvl w:val="0"/>
          <w:numId w:val="36"/>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lastRenderedPageBreak/>
        <w:t>w</w:t>
      </w:r>
      <w:proofErr w:type="gramEnd"/>
      <w:r w:rsidRPr="008F5AA6">
        <w:rPr>
          <w:rFonts w:ascii="Times New Roman" w:eastAsia="Cambria" w:hAnsi="Times New Roman"/>
          <w:sz w:val="24"/>
          <w:szCs w:val="24"/>
        </w:rPr>
        <w:t xml:space="preserve"> państwie członkowskim UE, w którym jest przechowywana lub dostępna ewidencja </w:t>
      </w:r>
      <w:r w:rsidRPr="008F5AA6">
        <w:rPr>
          <w:rFonts w:ascii="Times New Roman" w:eastAsia="Cambria" w:hAnsi="Times New Roman"/>
          <w:sz w:val="24"/>
          <w:szCs w:val="24"/>
        </w:rPr>
        <w:br/>
        <w:t xml:space="preserve">i dokumentacja wnioskodawcy (główne księgi rachunkowe na potrzeby celne) umożliwiająca organowi celnemu wydanie decyzji (art. 12 </w:t>
      </w:r>
      <w:r w:rsidR="00C6505C">
        <w:rPr>
          <w:rFonts w:ascii="Times New Roman" w:eastAsia="Cambria" w:hAnsi="Times New Roman"/>
          <w:sz w:val="24"/>
          <w:szCs w:val="24"/>
        </w:rPr>
        <w:t xml:space="preserve">UKC </w:t>
      </w:r>
      <w:r w:rsidRPr="008F5AA6">
        <w:rPr>
          <w:rFonts w:ascii="Times New Roman" w:eastAsia="Cambria" w:hAnsi="Times New Roman"/>
          <w:sz w:val="24"/>
          <w:szCs w:val="24"/>
        </w:rPr>
        <w:t>RD),</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roofErr w:type="gramStart"/>
      <w:r w:rsidRPr="008F5AA6">
        <w:rPr>
          <w:rFonts w:ascii="Times New Roman" w:eastAsia="Cambria" w:hAnsi="Times New Roman"/>
          <w:sz w:val="24"/>
          <w:szCs w:val="24"/>
          <w:u w:val="single"/>
        </w:rPr>
        <w:t>jeżeli</w:t>
      </w:r>
      <w:proofErr w:type="gramEnd"/>
      <w:r w:rsidRPr="008F5AA6">
        <w:rPr>
          <w:rFonts w:ascii="Times New Roman" w:eastAsia="Cambria" w:hAnsi="Times New Roman"/>
          <w:sz w:val="24"/>
          <w:szCs w:val="24"/>
          <w:u w:val="single"/>
        </w:rPr>
        <w:t xml:space="preserve"> nie jest możliwe wskazanie państwa członkowskiego UE zgodnie z kryterium wskazanym w lit. a)</w:t>
      </w:r>
      <w:r w:rsidRPr="008F5AA6">
        <w:rPr>
          <w:rFonts w:ascii="Times New Roman" w:eastAsia="Cambria" w:hAnsi="Times New Roman"/>
          <w:sz w:val="24"/>
          <w:szCs w:val="24"/>
        </w:rPr>
        <w:t>.</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u w:val="single"/>
        </w:rPr>
      </w:pPr>
      <w:r w:rsidRPr="008F5AA6">
        <w:rPr>
          <w:rFonts w:ascii="Times New Roman" w:eastAsia="Cambria" w:hAnsi="Times New Roman"/>
          <w:sz w:val="24"/>
          <w:szCs w:val="24"/>
          <w:u w:val="single"/>
        </w:rPr>
        <w:t xml:space="preserve">Przykład </w:t>
      </w:r>
    </w:p>
    <w:p w:rsidR="008F5AA6" w:rsidRPr="008F5AA6" w:rsidRDefault="008F5AA6" w:rsidP="008F5AA6">
      <w:pPr>
        <w:autoSpaceDE w:val="0"/>
        <w:autoSpaceDN w:val="0"/>
        <w:adjustRightInd w:val="0"/>
        <w:spacing w:after="0" w:line="360" w:lineRule="auto"/>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Międzynarodowy koncern z siedzibą w Austrii posiada swoje jednostki organizacyjne </w:t>
      </w:r>
      <w:r w:rsidRPr="008F5AA6">
        <w:rPr>
          <w:rFonts w:ascii="Times New Roman" w:eastAsia="Cambria" w:hAnsi="Times New Roman"/>
          <w:sz w:val="24"/>
          <w:szCs w:val="24"/>
        </w:rPr>
        <w:br/>
        <w:t xml:space="preserve">w kilku państwach członkowskich. Działalność jednostki usytuowanej w Polsce polega na imporcie kawy z Brazylii i zgłaszaniu tego towaru w polskich urzędach </w:t>
      </w:r>
      <w:r w:rsidR="00952BCD">
        <w:rPr>
          <w:rFonts w:ascii="Times New Roman" w:eastAsia="Cambria" w:hAnsi="Times New Roman"/>
          <w:sz w:val="24"/>
          <w:szCs w:val="24"/>
        </w:rPr>
        <w:t xml:space="preserve">celno-skarbowych </w:t>
      </w:r>
      <w:r w:rsidRPr="008F5AA6">
        <w:rPr>
          <w:rFonts w:ascii="Times New Roman" w:eastAsia="Cambria" w:hAnsi="Times New Roman"/>
          <w:sz w:val="24"/>
          <w:szCs w:val="24"/>
        </w:rPr>
        <w:t xml:space="preserve">do procedury dopuszczenia do obrotu na obszarze celnym UE. Natomiast księgi rachunkowe tego koncernu </w:t>
      </w:r>
      <w:r w:rsidRPr="008F5AA6">
        <w:rPr>
          <w:rFonts w:ascii="Times New Roman" w:eastAsia="Cambria" w:hAnsi="Times New Roman"/>
          <w:b/>
          <w:sz w:val="24"/>
          <w:szCs w:val="24"/>
          <w:u w:val="single"/>
        </w:rPr>
        <w:t>są prowadzone</w:t>
      </w:r>
      <w:r w:rsidRPr="008F5AA6">
        <w:rPr>
          <w:rFonts w:ascii="Times New Roman" w:eastAsia="Cambria" w:hAnsi="Times New Roman"/>
          <w:sz w:val="24"/>
          <w:szCs w:val="24"/>
        </w:rPr>
        <w:t xml:space="preserve"> przez inną jednostkę organizacyjną, należącą do tego koncernu, znajdującą się w Republice Czeskiej.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B20B13" w:rsidP="008F5AA6">
      <w:pPr>
        <w:numPr>
          <w:ilvl w:val="0"/>
          <w:numId w:val="37"/>
        </w:numPr>
        <w:autoSpaceDE w:val="0"/>
        <w:autoSpaceDN w:val="0"/>
        <w:adjustRightInd w:val="0"/>
        <w:spacing w:after="0" w:line="360" w:lineRule="auto"/>
        <w:jc w:val="both"/>
        <w:rPr>
          <w:rFonts w:ascii="Times New Roman" w:eastAsia="Cambria" w:hAnsi="Times New Roman"/>
          <w:sz w:val="24"/>
          <w:szCs w:val="24"/>
        </w:rPr>
      </w:pPr>
      <w:r>
        <w:rPr>
          <w:rFonts w:ascii="Times New Roman" w:eastAsia="Cambria" w:hAnsi="Times New Roman"/>
          <w:sz w:val="24"/>
          <w:szCs w:val="24"/>
        </w:rPr>
        <w:t>J</w:t>
      </w:r>
      <w:r w:rsidR="008F5AA6" w:rsidRPr="008F5AA6">
        <w:rPr>
          <w:rFonts w:ascii="Times New Roman" w:eastAsia="Cambria" w:hAnsi="Times New Roman"/>
          <w:sz w:val="24"/>
          <w:szCs w:val="24"/>
        </w:rPr>
        <w:t xml:space="preserve">eżeli </w:t>
      </w:r>
      <w:r w:rsidR="00E351CA">
        <w:rPr>
          <w:rFonts w:ascii="Times New Roman" w:eastAsia="Cambria" w:hAnsi="Times New Roman"/>
          <w:sz w:val="24"/>
          <w:szCs w:val="24"/>
        </w:rPr>
        <w:t xml:space="preserve">w siedzibie </w:t>
      </w:r>
      <w:r w:rsidR="008F5AA6" w:rsidRPr="008F5AA6">
        <w:rPr>
          <w:rFonts w:ascii="Times New Roman" w:eastAsia="Cambria" w:hAnsi="Times New Roman"/>
          <w:sz w:val="24"/>
          <w:szCs w:val="24"/>
        </w:rPr>
        <w:t>polsk</w:t>
      </w:r>
      <w:r w:rsidR="00E351CA">
        <w:rPr>
          <w:rFonts w:ascii="Times New Roman" w:eastAsia="Cambria" w:hAnsi="Times New Roman"/>
          <w:sz w:val="24"/>
          <w:szCs w:val="24"/>
        </w:rPr>
        <w:t>iej</w:t>
      </w:r>
      <w:r w:rsidR="008F5AA6" w:rsidRPr="008F5AA6">
        <w:rPr>
          <w:rFonts w:ascii="Times New Roman" w:eastAsia="Cambria" w:hAnsi="Times New Roman"/>
          <w:sz w:val="24"/>
          <w:szCs w:val="24"/>
        </w:rPr>
        <w:t xml:space="preserve"> firm</w:t>
      </w:r>
      <w:r w:rsidR="00E351CA">
        <w:rPr>
          <w:rFonts w:ascii="Times New Roman" w:eastAsia="Cambria" w:hAnsi="Times New Roman"/>
          <w:sz w:val="24"/>
          <w:szCs w:val="24"/>
        </w:rPr>
        <w:t>y</w:t>
      </w:r>
      <w:r w:rsidR="008F5AA6" w:rsidRPr="008F5AA6">
        <w:rPr>
          <w:rFonts w:ascii="Times New Roman" w:eastAsia="Cambria" w:hAnsi="Times New Roman"/>
          <w:sz w:val="24"/>
          <w:szCs w:val="24"/>
        </w:rPr>
        <w:t xml:space="preserve"> </w:t>
      </w:r>
      <w:r w:rsidR="008F5AA6" w:rsidRPr="00915843">
        <w:rPr>
          <w:rFonts w:ascii="Times New Roman" w:eastAsia="Cambria" w:hAnsi="Times New Roman"/>
          <w:b/>
          <w:sz w:val="24"/>
          <w:szCs w:val="24"/>
        </w:rPr>
        <w:t>będ</w:t>
      </w:r>
      <w:r w:rsidR="00E351CA">
        <w:rPr>
          <w:rFonts w:ascii="Times New Roman" w:eastAsia="Cambria" w:hAnsi="Times New Roman"/>
          <w:b/>
          <w:sz w:val="24"/>
          <w:szCs w:val="24"/>
        </w:rPr>
        <w:t>ą</w:t>
      </w:r>
      <w:r w:rsidR="008F5AA6" w:rsidRPr="00915843">
        <w:rPr>
          <w:rFonts w:ascii="Times New Roman" w:eastAsia="Cambria" w:hAnsi="Times New Roman"/>
          <w:b/>
          <w:sz w:val="24"/>
          <w:szCs w:val="24"/>
        </w:rPr>
        <w:t xml:space="preserve"> </w:t>
      </w:r>
      <w:r w:rsidR="00E351CA">
        <w:rPr>
          <w:rFonts w:ascii="Times New Roman" w:eastAsia="Cambria" w:hAnsi="Times New Roman"/>
          <w:b/>
          <w:sz w:val="24"/>
          <w:szCs w:val="24"/>
        </w:rPr>
        <w:t xml:space="preserve">dostępne, </w:t>
      </w:r>
      <w:r w:rsidR="00E351CA" w:rsidRPr="00E351CA">
        <w:rPr>
          <w:rFonts w:ascii="Times New Roman" w:eastAsia="Cambria" w:hAnsi="Times New Roman"/>
          <w:sz w:val="24"/>
          <w:szCs w:val="24"/>
        </w:rPr>
        <w:t>np. w systemie teleinformatycznym</w:t>
      </w:r>
      <w:r w:rsidR="00E351CA">
        <w:rPr>
          <w:rFonts w:ascii="Times New Roman" w:eastAsia="Cambria" w:hAnsi="Times New Roman"/>
          <w:sz w:val="24"/>
          <w:szCs w:val="24"/>
        </w:rPr>
        <w:t>,</w:t>
      </w:r>
      <w:r w:rsidR="008F5AA6" w:rsidRPr="00915843">
        <w:rPr>
          <w:rFonts w:ascii="Times New Roman" w:eastAsia="Cambria" w:hAnsi="Times New Roman"/>
          <w:sz w:val="24"/>
          <w:szCs w:val="24"/>
        </w:rPr>
        <w:t xml:space="preserve"> </w:t>
      </w:r>
      <w:r w:rsidR="00E351CA">
        <w:rPr>
          <w:rFonts w:ascii="Times New Roman" w:eastAsia="Cambria" w:hAnsi="Times New Roman"/>
          <w:sz w:val="24"/>
          <w:szCs w:val="24"/>
        </w:rPr>
        <w:t xml:space="preserve">i jako takie możliwe do </w:t>
      </w:r>
      <w:r w:rsidR="00915843" w:rsidRPr="00915843">
        <w:rPr>
          <w:rFonts w:ascii="Times New Roman" w:eastAsia="Cambria" w:hAnsi="Times New Roman"/>
          <w:sz w:val="24"/>
          <w:szCs w:val="24"/>
        </w:rPr>
        <w:t>przedstawi</w:t>
      </w:r>
      <w:r w:rsidR="00E351CA">
        <w:rPr>
          <w:rFonts w:ascii="Times New Roman" w:eastAsia="Cambria" w:hAnsi="Times New Roman"/>
          <w:sz w:val="24"/>
          <w:szCs w:val="24"/>
        </w:rPr>
        <w:t>enia</w:t>
      </w:r>
      <w:r w:rsidR="00915843" w:rsidRPr="00915843">
        <w:rPr>
          <w:rFonts w:ascii="Times New Roman" w:eastAsia="Cambria" w:hAnsi="Times New Roman"/>
          <w:sz w:val="24"/>
          <w:szCs w:val="24"/>
        </w:rPr>
        <w:t xml:space="preserve"> </w:t>
      </w:r>
      <w:r w:rsidR="00915843" w:rsidRPr="008F5AA6">
        <w:rPr>
          <w:rFonts w:ascii="Times New Roman" w:eastAsia="Cambria" w:hAnsi="Times New Roman"/>
          <w:sz w:val="24"/>
          <w:szCs w:val="24"/>
        </w:rPr>
        <w:t>polskim</w:t>
      </w:r>
      <w:r w:rsidR="008F5AA6" w:rsidRPr="008F5AA6">
        <w:rPr>
          <w:rFonts w:ascii="Times New Roman" w:eastAsia="Cambria" w:hAnsi="Times New Roman"/>
          <w:sz w:val="24"/>
          <w:szCs w:val="24"/>
        </w:rPr>
        <w:t xml:space="preserve"> organom </w:t>
      </w:r>
      <w:r w:rsidR="004C3BEC">
        <w:rPr>
          <w:rFonts w:ascii="Times New Roman" w:eastAsia="Cambria" w:hAnsi="Times New Roman"/>
          <w:sz w:val="24"/>
          <w:szCs w:val="24"/>
        </w:rPr>
        <w:t xml:space="preserve">celno-skarbowym </w:t>
      </w:r>
      <w:r w:rsidR="008F5AA6" w:rsidRPr="008F5AA6">
        <w:rPr>
          <w:rFonts w:ascii="Times New Roman" w:eastAsia="Cambria" w:hAnsi="Times New Roman"/>
          <w:sz w:val="24"/>
          <w:szCs w:val="24"/>
        </w:rPr>
        <w:t>księgi</w:t>
      </w:r>
      <w:r w:rsidR="00E351CA">
        <w:rPr>
          <w:rFonts w:ascii="Times New Roman" w:eastAsia="Cambria" w:hAnsi="Times New Roman"/>
          <w:sz w:val="24"/>
          <w:szCs w:val="24"/>
        </w:rPr>
        <w:t xml:space="preserve"> </w:t>
      </w:r>
      <w:r w:rsidR="008F5AA6" w:rsidRPr="008F5AA6">
        <w:rPr>
          <w:rFonts w:ascii="Times New Roman" w:eastAsia="Cambria" w:hAnsi="Times New Roman"/>
          <w:sz w:val="24"/>
          <w:szCs w:val="24"/>
        </w:rPr>
        <w:t>rachunkowe</w:t>
      </w:r>
      <w:r w:rsidR="00E351CA">
        <w:rPr>
          <w:rFonts w:ascii="Times New Roman" w:eastAsia="Cambria" w:hAnsi="Times New Roman"/>
          <w:sz w:val="24"/>
          <w:szCs w:val="24"/>
        </w:rPr>
        <w:t xml:space="preserve"> </w:t>
      </w:r>
      <w:r w:rsidR="008F5AA6" w:rsidRPr="008F5AA6">
        <w:rPr>
          <w:rFonts w:ascii="Times New Roman" w:eastAsia="Cambria" w:hAnsi="Times New Roman"/>
          <w:sz w:val="24"/>
          <w:szCs w:val="24"/>
        </w:rPr>
        <w:t>na</w:t>
      </w:r>
      <w:r w:rsidR="00E351CA">
        <w:rPr>
          <w:rFonts w:ascii="Times New Roman" w:eastAsia="Cambria" w:hAnsi="Times New Roman"/>
          <w:sz w:val="24"/>
          <w:szCs w:val="24"/>
        </w:rPr>
        <w:t xml:space="preserve"> </w:t>
      </w:r>
      <w:r w:rsidR="008F5AA6" w:rsidRPr="008F5AA6">
        <w:rPr>
          <w:rFonts w:ascii="Times New Roman" w:eastAsia="Cambria" w:hAnsi="Times New Roman"/>
          <w:sz w:val="24"/>
          <w:szCs w:val="24"/>
        </w:rPr>
        <w:t>potrzeby</w:t>
      </w:r>
      <w:r w:rsidR="00E351CA">
        <w:rPr>
          <w:rFonts w:ascii="Times New Roman" w:eastAsia="Cambria" w:hAnsi="Times New Roman"/>
          <w:sz w:val="24"/>
          <w:szCs w:val="24"/>
        </w:rPr>
        <w:t xml:space="preserve"> </w:t>
      </w:r>
      <w:r w:rsidR="008F5AA6" w:rsidRPr="008F5AA6">
        <w:rPr>
          <w:rFonts w:ascii="Times New Roman" w:eastAsia="Cambria" w:hAnsi="Times New Roman"/>
          <w:sz w:val="24"/>
          <w:szCs w:val="24"/>
        </w:rPr>
        <w:t>celne,</w:t>
      </w:r>
      <w:r w:rsidR="00E351CA">
        <w:rPr>
          <w:rFonts w:ascii="Times New Roman" w:eastAsia="Cambria" w:hAnsi="Times New Roman"/>
          <w:sz w:val="24"/>
          <w:szCs w:val="24"/>
        </w:rPr>
        <w:t xml:space="preserve"> </w:t>
      </w:r>
      <w:r w:rsidR="008F5AA6" w:rsidRPr="008F5AA6">
        <w:rPr>
          <w:rFonts w:ascii="Times New Roman" w:eastAsia="Cambria" w:hAnsi="Times New Roman"/>
          <w:sz w:val="24"/>
          <w:szCs w:val="24"/>
        </w:rPr>
        <w:t>to</w:t>
      </w:r>
      <w:r w:rsidR="00E351CA">
        <w:rPr>
          <w:rFonts w:ascii="Times New Roman" w:eastAsia="Cambria" w:hAnsi="Times New Roman"/>
          <w:sz w:val="24"/>
          <w:szCs w:val="24"/>
        </w:rPr>
        <w:t xml:space="preserve"> </w:t>
      </w:r>
      <w:r w:rsidR="008F5AA6" w:rsidRPr="008F5AA6">
        <w:rPr>
          <w:rFonts w:ascii="Times New Roman" w:eastAsia="Cambria" w:hAnsi="Times New Roman"/>
          <w:sz w:val="24"/>
          <w:szCs w:val="24"/>
        </w:rPr>
        <w:t xml:space="preserve">z uwagi na fakt, że w przedstawionym przykładzie spełniony jest warunek </w:t>
      </w:r>
      <w:r w:rsidR="008F5AA6" w:rsidRPr="008F5AA6">
        <w:rPr>
          <w:rFonts w:ascii="Times New Roman" w:eastAsia="Cambria" w:hAnsi="Times New Roman"/>
          <w:i/>
          <w:sz w:val="24"/>
          <w:szCs w:val="24"/>
        </w:rPr>
        <w:t>prowadzenia przynajmniej części działalności, której ma dotyczyć decyzja</w:t>
      </w:r>
      <w:r w:rsidR="008F5AA6" w:rsidRPr="008F5AA6">
        <w:rPr>
          <w:rFonts w:ascii="Times New Roman" w:eastAsia="Cambria" w:hAnsi="Times New Roman"/>
          <w:sz w:val="24"/>
          <w:szCs w:val="24"/>
        </w:rPr>
        <w:t xml:space="preserve"> w Polsce, wniosek o wydanie pozwolenie na korzystanie z tego uproszczenia powinien być złożony w Polsce</w:t>
      </w:r>
      <w:r w:rsidR="00C51EF3">
        <w:rPr>
          <w:rFonts w:ascii="Times New Roman" w:eastAsia="Cambria" w:hAnsi="Times New Roman"/>
          <w:sz w:val="24"/>
          <w:szCs w:val="24"/>
        </w:rPr>
        <w:t>.</w:t>
      </w:r>
      <w:r w:rsidR="008F5AA6" w:rsidRPr="008F5AA6">
        <w:rPr>
          <w:rFonts w:ascii="Times New Roman" w:eastAsia="Cambria" w:hAnsi="Times New Roman"/>
          <w:sz w:val="24"/>
          <w:szCs w:val="24"/>
        </w:rPr>
        <w:t xml:space="preserve"> </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8F5AA6" w:rsidRPr="008F5AA6" w:rsidRDefault="00C51EF3" w:rsidP="008F5AA6">
      <w:pPr>
        <w:numPr>
          <w:ilvl w:val="0"/>
          <w:numId w:val="37"/>
        </w:numPr>
        <w:autoSpaceDE w:val="0"/>
        <w:autoSpaceDN w:val="0"/>
        <w:adjustRightInd w:val="0"/>
        <w:spacing w:after="0" w:line="360" w:lineRule="auto"/>
        <w:jc w:val="both"/>
        <w:rPr>
          <w:rFonts w:ascii="Times New Roman" w:eastAsia="Cambria" w:hAnsi="Times New Roman"/>
          <w:sz w:val="24"/>
          <w:szCs w:val="24"/>
        </w:rPr>
      </w:pPr>
      <w:r>
        <w:rPr>
          <w:rFonts w:ascii="Times New Roman" w:eastAsia="Cambria" w:hAnsi="Times New Roman"/>
          <w:sz w:val="24"/>
          <w:szCs w:val="24"/>
        </w:rPr>
        <w:t>J</w:t>
      </w:r>
      <w:r w:rsidR="008F5AA6" w:rsidRPr="008F5AA6">
        <w:rPr>
          <w:rFonts w:ascii="Times New Roman" w:eastAsia="Cambria" w:hAnsi="Times New Roman"/>
          <w:sz w:val="24"/>
          <w:szCs w:val="24"/>
        </w:rPr>
        <w:t xml:space="preserve">eżeli </w:t>
      </w:r>
      <w:r w:rsidR="00E351CA">
        <w:rPr>
          <w:rFonts w:ascii="Times New Roman" w:eastAsia="Cambria" w:hAnsi="Times New Roman"/>
          <w:sz w:val="24"/>
          <w:szCs w:val="24"/>
        </w:rPr>
        <w:t xml:space="preserve">w siedzibie </w:t>
      </w:r>
      <w:r w:rsidR="00E351CA" w:rsidRPr="008F5AA6">
        <w:rPr>
          <w:rFonts w:ascii="Times New Roman" w:eastAsia="Cambria" w:hAnsi="Times New Roman"/>
          <w:sz w:val="24"/>
          <w:szCs w:val="24"/>
        </w:rPr>
        <w:t>polsk</w:t>
      </w:r>
      <w:r w:rsidR="00E351CA">
        <w:rPr>
          <w:rFonts w:ascii="Times New Roman" w:eastAsia="Cambria" w:hAnsi="Times New Roman"/>
          <w:sz w:val="24"/>
          <w:szCs w:val="24"/>
        </w:rPr>
        <w:t>iej</w:t>
      </w:r>
      <w:r w:rsidR="00E351CA" w:rsidRPr="008F5AA6">
        <w:rPr>
          <w:rFonts w:ascii="Times New Roman" w:eastAsia="Cambria" w:hAnsi="Times New Roman"/>
          <w:sz w:val="24"/>
          <w:szCs w:val="24"/>
        </w:rPr>
        <w:t xml:space="preserve"> firm</w:t>
      </w:r>
      <w:r w:rsidR="00E351CA">
        <w:rPr>
          <w:rFonts w:ascii="Times New Roman" w:eastAsia="Cambria" w:hAnsi="Times New Roman"/>
          <w:sz w:val="24"/>
          <w:szCs w:val="24"/>
        </w:rPr>
        <w:t>y</w:t>
      </w:r>
      <w:r w:rsidR="00E351CA" w:rsidRPr="008F5AA6">
        <w:rPr>
          <w:rFonts w:ascii="Times New Roman" w:eastAsia="Cambria" w:hAnsi="Times New Roman"/>
          <w:sz w:val="24"/>
          <w:szCs w:val="24"/>
        </w:rPr>
        <w:t xml:space="preserve"> </w:t>
      </w:r>
      <w:r w:rsidR="008F5AA6" w:rsidRPr="00915843">
        <w:rPr>
          <w:rFonts w:ascii="Times New Roman" w:eastAsia="Cambria" w:hAnsi="Times New Roman"/>
          <w:b/>
          <w:sz w:val="24"/>
          <w:szCs w:val="24"/>
        </w:rPr>
        <w:t xml:space="preserve">nie </w:t>
      </w:r>
      <w:r w:rsidR="00E351CA" w:rsidRPr="00915843">
        <w:rPr>
          <w:rFonts w:ascii="Times New Roman" w:eastAsia="Cambria" w:hAnsi="Times New Roman"/>
          <w:b/>
          <w:sz w:val="24"/>
          <w:szCs w:val="24"/>
        </w:rPr>
        <w:t>będ</w:t>
      </w:r>
      <w:r w:rsidR="00E351CA">
        <w:rPr>
          <w:rFonts w:ascii="Times New Roman" w:eastAsia="Cambria" w:hAnsi="Times New Roman"/>
          <w:b/>
          <w:sz w:val="24"/>
          <w:szCs w:val="24"/>
        </w:rPr>
        <w:t>ą</w:t>
      </w:r>
      <w:r w:rsidR="00E351CA" w:rsidRPr="00915843">
        <w:rPr>
          <w:rFonts w:ascii="Times New Roman" w:eastAsia="Cambria" w:hAnsi="Times New Roman"/>
          <w:b/>
          <w:sz w:val="24"/>
          <w:szCs w:val="24"/>
        </w:rPr>
        <w:t xml:space="preserve"> </w:t>
      </w:r>
      <w:r w:rsidR="00E351CA">
        <w:rPr>
          <w:rFonts w:ascii="Times New Roman" w:eastAsia="Cambria" w:hAnsi="Times New Roman"/>
          <w:b/>
          <w:sz w:val="24"/>
          <w:szCs w:val="24"/>
        </w:rPr>
        <w:t xml:space="preserve">dostępne, </w:t>
      </w:r>
      <w:r w:rsidR="00E351CA" w:rsidRPr="00E351CA">
        <w:rPr>
          <w:rFonts w:ascii="Times New Roman" w:eastAsia="Cambria" w:hAnsi="Times New Roman"/>
          <w:sz w:val="24"/>
          <w:szCs w:val="24"/>
        </w:rPr>
        <w:t>np. w systemie teleinformatycznym</w:t>
      </w:r>
      <w:r w:rsidR="00E351CA">
        <w:rPr>
          <w:rFonts w:ascii="Times New Roman" w:eastAsia="Cambria" w:hAnsi="Times New Roman"/>
          <w:sz w:val="24"/>
          <w:szCs w:val="24"/>
        </w:rPr>
        <w:t>,</w:t>
      </w:r>
      <w:r w:rsidR="00E351CA" w:rsidRPr="00915843">
        <w:rPr>
          <w:rFonts w:ascii="Times New Roman" w:eastAsia="Cambria" w:hAnsi="Times New Roman"/>
          <w:sz w:val="24"/>
          <w:szCs w:val="24"/>
        </w:rPr>
        <w:t xml:space="preserve"> </w:t>
      </w:r>
      <w:r w:rsidR="00E351CA">
        <w:rPr>
          <w:rFonts w:ascii="Times New Roman" w:eastAsia="Cambria" w:hAnsi="Times New Roman"/>
          <w:sz w:val="24"/>
          <w:szCs w:val="24"/>
        </w:rPr>
        <w:t xml:space="preserve">i jako takie możliwe do </w:t>
      </w:r>
      <w:r w:rsidR="00E351CA" w:rsidRPr="00915843">
        <w:rPr>
          <w:rFonts w:ascii="Times New Roman" w:eastAsia="Cambria" w:hAnsi="Times New Roman"/>
          <w:sz w:val="24"/>
          <w:szCs w:val="24"/>
        </w:rPr>
        <w:t>przedstawi</w:t>
      </w:r>
      <w:r w:rsidR="00E351CA">
        <w:rPr>
          <w:rFonts w:ascii="Times New Roman" w:eastAsia="Cambria" w:hAnsi="Times New Roman"/>
          <w:sz w:val="24"/>
          <w:szCs w:val="24"/>
        </w:rPr>
        <w:t>enia</w:t>
      </w:r>
      <w:r w:rsidR="00E351CA" w:rsidRPr="00915843">
        <w:rPr>
          <w:rFonts w:ascii="Times New Roman" w:eastAsia="Cambria" w:hAnsi="Times New Roman"/>
          <w:sz w:val="24"/>
          <w:szCs w:val="24"/>
        </w:rPr>
        <w:t xml:space="preserve"> </w:t>
      </w:r>
      <w:r w:rsidR="00E351CA" w:rsidRPr="008F5AA6">
        <w:rPr>
          <w:rFonts w:ascii="Times New Roman" w:eastAsia="Cambria" w:hAnsi="Times New Roman"/>
          <w:sz w:val="24"/>
          <w:szCs w:val="24"/>
        </w:rPr>
        <w:t xml:space="preserve">polskim organom </w:t>
      </w:r>
      <w:r w:rsidR="00E351CA">
        <w:rPr>
          <w:rFonts w:ascii="Times New Roman" w:eastAsia="Cambria" w:hAnsi="Times New Roman"/>
          <w:sz w:val="24"/>
          <w:szCs w:val="24"/>
        </w:rPr>
        <w:t xml:space="preserve">celno-skarbowym </w:t>
      </w:r>
      <w:r w:rsidR="00E351CA" w:rsidRPr="008F5AA6">
        <w:rPr>
          <w:rFonts w:ascii="Times New Roman" w:eastAsia="Cambria" w:hAnsi="Times New Roman"/>
          <w:sz w:val="24"/>
          <w:szCs w:val="24"/>
        </w:rPr>
        <w:t>księgi</w:t>
      </w:r>
      <w:r w:rsidR="008F5AA6" w:rsidRPr="008F5AA6">
        <w:rPr>
          <w:rFonts w:ascii="Times New Roman" w:eastAsia="Cambria" w:hAnsi="Times New Roman"/>
          <w:sz w:val="24"/>
          <w:szCs w:val="24"/>
        </w:rPr>
        <w:t xml:space="preserve"> rachunkowych na potrzeby celne, to nawet w </w:t>
      </w:r>
      <w:proofErr w:type="gramStart"/>
      <w:r w:rsidR="008F5AA6" w:rsidRPr="008F5AA6">
        <w:rPr>
          <w:rFonts w:ascii="Times New Roman" w:eastAsia="Cambria" w:hAnsi="Times New Roman"/>
          <w:sz w:val="24"/>
          <w:szCs w:val="24"/>
        </w:rPr>
        <w:t>sytuacji gdy</w:t>
      </w:r>
      <w:proofErr w:type="gramEnd"/>
      <w:r w:rsidR="008F5AA6" w:rsidRPr="008F5AA6">
        <w:rPr>
          <w:rFonts w:ascii="Times New Roman" w:eastAsia="Cambria" w:hAnsi="Times New Roman"/>
          <w:sz w:val="24"/>
          <w:szCs w:val="24"/>
        </w:rPr>
        <w:t xml:space="preserve"> spełniony jest warunek </w:t>
      </w:r>
      <w:r w:rsidR="008F5AA6" w:rsidRPr="008F5AA6">
        <w:rPr>
          <w:rFonts w:ascii="Times New Roman" w:eastAsia="Cambria" w:hAnsi="Times New Roman"/>
          <w:i/>
          <w:sz w:val="24"/>
          <w:szCs w:val="24"/>
        </w:rPr>
        <w:t>prowadzenia przynajmniej części działalności, której ma dotyczyć decyzja</w:t>
      </w:r>
      <w:r w:rsidR="008F5AA6" w:rsidRPr="008F5AA6">
        <w:rPr>
          <w:rFonts w:ascii="Times New Roman" w:eastAsia="Cambria" w:hAnsi="Times New Roman"/>
          <w:sz w:val="24"/>
          <w:szCs w:val="24"/>
        </w:rPr>
        <w:t xml:space="preserve"> w Polsce, wniosek o wydanie pozwolenie na korzystanie z tego uproszczenia powinien być złożony w Republice Czeskiej. </w:t>
      </w:r>
    </w:p>
    <w:p w:rsid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5"/>
        </w:numPr>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b/>
          <w:sz w:val="24"/>
          <w:szCs w:val="24"/>
        </w:rPr>
        <w:t>Tzw. mała właściwość miejscowa (właściwość organu w państwie członkowskim UE)</w:t>
      </w:r>
    </w:p>
    <w:p w:rsidR="008F5AA6" w:rsidRPr="008F5AA6" w:rsidRDefault="008F5AA6" w:rsidP="008F5AA6">
      <w:pPr>
        <w:autoSpaceDE w:val="0"/>
        <w:autoSpaceDN w:val="0"/>
        <w:adjustRightInd w:val="0"/>
        <w:spacing w:after="0" w:line="360" w:lineRule="auto"/>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b/>
          <w:i/>
          <w:sz w:val="24"/>
          <w:szCs w:val="24"/>
        </w:rPr>
      </w:pPr>
      <w:r w:rsidRPr="008F5AA6">
        <w:rPr>
          <w:rFonts w:ascii="Times New Roman" w:eastAsia="Cambria" w:hAnsi="Times New Roman"/>
          <w:sz w:val="24"/>
          <w:szCs w:val="24"/>
        </w:rPr>
        <w:t xml:space="preserve">Po ustaleniu tzw. dużej właściwości miejscowej należy ustalić organ w danym państwie członkowskim UE, właściwy do rozpatrzenia wniosku o wydanie </w:t>
      </w:r>
      <w:r w:rsidRPr="003370C6">
        <w:rPr>
          <w:rFonts w:ascii="Times New Roman" w:eastAsia="Cambria" w:hAnsi="Times New Roman"/>
          <w:b/>
          <w:sz w:val="24"/>
          <w:szCs w:val="24"/>
        </w:rPr>
        <w:t xml:space="preserve">przedmiotowego </w:t>
      </w:r>
      <w:r w:rsidRPr="003370C6">
        <w:rPr>
          <w:rFonts w:ascii="Times New Roman" w:eastAsia="Cambria" w:hAnsi="Times New Roman"/>
          <w:b/>
          <w:sz w:val="24"/>
          <w:szCs w:val="24"/>
        </w:rPr>
        <w:lastRenderedPageBreak/>
        <w:t>pozwolenia</w:t>
      </w:r>
      <w:r w:rsidRPr="008F5AA6">
        <w:rPr>
          <w:rFonts w:ascii="Times New Roman" w:eastAsia="Cambria" w:hAnsi="Times New Roman"/>
          <w:sz w:val="24"/>
          <w:szCs w:val="24"/>
        </w:rPr>
        <w:t xml:space="preserve">. Właściwość tę określają przepisy krajowe państw członkowskich. </w:t>
      </w:r>
      <w:r w:rsidR="002531AF">
        <w:rPr>
          <w:rFonts w:ascii="Times New Roman" w:eastAsia="Cambria" w:hAnsi="Times New Roman"/>
          <w:sz w:val="24"/>
          <w:szCs w:val="24"/>
        </w:rPr>
        <w:t xml:space="preserve">W Polsce są to, w szczególności, </w:t>
      </w:r>
      <w:r w:rsidR="002531AF" w:rsidRPr="002531AF">
        <w:rPr>
          <w:rFonts w:ascii="Times New Roman" w:eastAsiaTheme="minorHAnsi" w:hAnsi="Times New Roman"/>
          <w:sz w:val="24"/>
          <w:szCs w:val="24"/>
        </w:rPr>
        <w:t xml:space="preserve">przepisy ustawy z dnia 19 marca 2004 r. – </w:t>
      </w:r>
      <w:r w:rsidR="002531AF" w:rsidRPr="002531AF">
        <w:rPr>
          <w:rFonts w:ascii="Times New Roman" w:eastAsiaTheme="minorHAnsi" w:hAnsi="Times New Roman"/>
          <w:i/>
          <w:sz w:val="24"/>
          <w:szCs w:val="24"/>
        </w:rPr>
        <w:t>Prawo celne</w:t>
      </w:r>
      <w:r w:rsidR="002531AF" w:rsidRPr="002531AF">
        <w:rPr>
          <w:rStyle w:val="Odwoanieprzypisudolnego"/>
          <w:rFonts w:ascii="Times New Roman" w:eastAsiaTheme="minorHAnsi" w:hAnsi="Times New Roman"/>
          <w:sz w:val="24"/>
          <w:szCs w:val="24"/>
        </w:rPr>
        <w:footnoteReference w:id="5"/>
      </w:r>
      <w:r w:rsidR="002531AF" w:rsidRPr="002531AF">
        <w:rPr>
          <w:rFonts w:ascii="Times New Roman" w:eastAsiaTheme="minorHAnsi" w:hAnsi="Times New Roman"/>
          <w:sz w:val="24"/>
          <w:szCs w:val="24"/>
        </w:rPr>
        <w:t xml:space="preserve"> </w:t>
      </w:r>
      <w:r w:rsidR="002531AF">
        <w:rPr>
          <w:rFonts w:ascii="Times New Roman" w:eastAsiaTheme="minorHAnsi" w:hAnsi="Times New Roman"/>
          <w:sz w:val="24"/>
          <w:szCs w:val="24"/>
        </w:rPr>
        <w:t>(</w:t>
      </w:r>
      <w:r w:rsidR="003370C6">
        <w:rPr>
          <w:rFonts w:ascii="Times New Roman" w:eastAsiaTheme="minorHAnsi" w:hAnsi="Times New Roman"/>
          <w:sz w:val="24"/>
          <w:szCs w:val="24"/>
        </w:rPr>
        <w:t xml:space="preserve">zob. </w:t>
      </w:r>
      <w:r w:rsidR="002531AF">
        <w:rPr>
          <w:rFonts w:ascii="Times New Roman" w:eastAsiaTheme="minorHAnsi" w:hAnsi="Times New Roman"/>
          <w:sz w:val="24"/>
          <w:szCs w:val="24"/>
        </w:rPr>
        <w:t xml:space="preserve">Rozdział 5. Organy celne i ich właściwość) </w:t>
      </w:r>
      <w:r w:rsidR="002531AF" w:rsidRPr="002531AF">
        <w:rPr>
          <w:rFonts w:ascii="Times New Roman" w:eastAsiaTheme="minorHAnsi" w:hAnsi="Times New Roman"/>
          <w:sz w:val="24"/>
          <w:szCs w:val="24"/>
        </w:rPr>
        <w:t xml:space="preserve">oraz przepisy </w:t>
      </w:r>
      <w:r w:rsidR="002531AF" w:rsidRPr="002531AF">
        <w:rPr>
          <w:rFonts w:ascii="Times New Roman" w:eastAsiaTheme="minorHAnsi" w:hAnsi="Times New Roman"/>
          <w:i/>
          <w:sz w:val="24"/>
          <w:szCs w:val="24"/>
        </w:rPr>
        <w:t>rozporządzenia Ministra Finansów z dnia 31 maja 2016 r. w sprawie właściwości miejscowej organów celnych</w:t>
      </w:r>
      <w:r w:rsidR="002531AF" w:rsidRPr="002531AF">
        <w:rPr>
          <w:rStyle w:val="Odwoanieprzypisudolnego"/>
          <w:rFonts w:ascii="Times New Roman" w:eastAsiaTheme="minorHAnsi" w:hAnsi="Times New Roman"/>
          <w:sz w:val="24"/>
          <w:szCs w:val="24"/>
        </w:rPr>
        <w:footnoteReference w:id="6"/>
      </w:r>
      <w:r w:rsidR="002531AF">
        <w:rPr>
          <w:rFonts w:ascii="Times New Roman" w:eastAsiaTheme="minorHAnsi" w:hAnsi="Times New Roman"/>
          <w:i/>
          <w:sz w:val="24"/>
          <w:szCs w:val="24"/>
        </w:rPr>
        <w:t xml:space="preserve"> </w:t>
      </w:r>
      <w:r w:rsidR="002531AF" w:rsidRPr="002531AF">
        <w:rPr>
          <w:rFonts w:ascii="Times New Roman" w:eastAsiaTheme="minorHAnsi" w:hAnsi="Times New Roman"/>
          <w:sz w:val="24"/>
          <w:szCs w:val="24"/>
        </w:rPr>
        <w:t>(</w:t>
      </w:r>
      <w:r w:rsidR="003370C6">
        <w:rPr>
          <w:rFonts w:ascii="Times New Roman" w:eastAsiaTheme="minorHAnsi" w:hAnsi="Times New Roman"/>
          <w:sz w:val="24"/>
          <w:szCs w:val="24"/>
        </w:rPr>
        <w:t xml:space="preserve">zob. </w:t>
      </w:r>
      <w:r w:rsidR="002531AF">
        <w:rPr>
          <w:rFonts w:ascii="Times New Roman" w:eastAsiaTheme="minorHAnsi" w:hAnsi="Times New Roman"/>
          <w:sz w:val="24"/>
          <w:szCs w:val="24"/>
        </w:rPr>
        <w:t>§ 2 pkt</w:t>
      </w:r>
      <w:proofErr w:type="gramStart"/>
      <w:r w:rsidR="002531AF">
        <w:rPr>
          <w:rFonts w:ascii="Times New Roman" w:eastAsiaTheme="minorHAnsi" w:hAnsi="Times New Roman"/>
          <w:sz w:val="24"/>
          <w:szCs w:val="24"/>
        </w:rPr>
        <w:t xml:space="preserve"> 16))</w:t>
      </w:r>
      <w:r w:rsidR="002531AF" w:rsidRPr="002531AF">
        <w:rPr>
          <w:rFonts w:ascii="Times New Roman" w:eastAsiaTheme="minorHAnsi" w:hAnsi="Times New Roman"/>
          <w:sz w:val="24"/>
          <w:szCs w:val="24"/>
        </w:rPr>
        <w:t>.</w:t>
      </w:r>
      <w:r w:rsidR="002531AF" w:rsidRPr="00334AF9">
        <w:rPr>
          <w:rFonts w:ascii="Arial" w:eastAsiaTheme="minorHAnsi" w:hAnsi="Arial" w:cs="Arial"/>
          <w:sz w:val="24"/>
          <w:szCs w:val="24"/>
        </w:rPr>
        <w:t xml:space="preserve"> </w:t>
      </w:r>
      <w:r w:rsidR="00CB24F8">
        <w:rPr>
          <w:rFonts w:ascii="Times New Roman" w:eastAsia="Cambria" w:hAnsi="Times New Roman"/>
          <w:sz w:val="24"/>
          <w:szCs w:val="24"/>
        </w:rPr>
        <w:t>Zgodnie</w:t>
      </w:r>
      <w:proofErr w:type="gramEnd"/>
      <w:r w:rsidR="00CB24F8">
        <w:rPr>
          <w:rFonts w:ascii="Times New Roman" w:eastAsia="Cambria" w:hAnsi="Times New Roman"/>
          <w:sz w:val="24"/>
          <w:szCs w:val="24"/>
        </w:rPr>
        <w:t xml:space="preserve"> </w:t>
      </w:r>
      <w:r w:rsidR="00CB24F8" w:rsidRPr="008F5AA6">
        <w:rPr>
          <w:rFonts w:ascii="Times New Roman" w:hAnsi="Times New Roman"/>
          <w:sz w:val="24"/>
          <w:szCs w:val="24"/>
          <w:lang w:eastAsia="pl-PL"/>
        </w:rPr>
        <w:t>z</w:t>
      </w:r>
      <w:r w:rsidRPr="008F5AA6">
        <w:rPr>
          <w:rFonts w:ascii="Times New Roman" w:hAnsi="Times New Roman"/>
          <w:sz w:val="24"/>
          <w:szCs w:val="24"/>
          <w:lang w:eastAsia="pl-PL"/>
        </w:rPr>
        <w:t xml:space="preserve"> </w:t>
      </w:r>
      <w:r w:rsidR="00CB24F8">
        <w:rPr>
          <w:rFonts w:ascii="Times New Roman" w:hAnsi="Times New Roman"/>
          <w:sz w:val="24"/>
          <w:szCs w:val="24"/>
          <w:lang w:eastAsia="pl-PL"/>
        </w:rPr>
        <w:t xml:space="preserve">tymi </w:t>
      </w:r>
      <w:r w:rsidR="00CB24F8" w:rsidRPr="008F5AA6">
        <w:rPr>
          <w:rFonts w:ascii="Times New Roman" w:hAnsi="Times New Roman"/>
          <w:sz w:val="24"/>
          <w:szCs w:val="24"/>
          <w:lang w:eastAsia="pl-PL"/>
        </w:rPr>
        <w:t>przepisami</w:t>
      </w:r>
      <w:r w:rsidRPr="008F5AA6">
        <w:rPr>
          <w:rFonts w:ascii="Times New Roman" w:hAnsi="Times New Roman"/>
          <w:sz w:val="24"/>
          <w:szCs w:val="24"/>
          <w:lang w:eastAsia="pl-PL"/>
        </w:rPr>
        <w:t xml:space="preserve"> z wnioskiem o udzielenie pozwolenia na zastosowanie uproszczonego sposobu obliczania elementów formułujących wartość celną należy wystąpić do </w:t>
      </w:r>
      <w:r w:rsidRPr="008F5AA6">
        <w:rPr>
          <w:rFonts w:ascii="Times New Roman" w:hAnsi="Times New Roman"/>
          <w:b/>
          <w:sz w:val="24"/>
          <w:szCs w:val="24"/>
          <w:lang w:eastAsia="pl-PL"/>
        </w:rPr>
        <w:t>naczelnika urzędu</w:t>
      </w:r>
      <w:r w:rsidR="00C151C3">
        <w:rPr>
          <w:rFonts w:ascii="Times New Roman" w:hAnsi="Times New Roman"/>
          <w:b/>
          <w:sz w:val="24"/>
          <w:szCs w:val="24"/>
          <w:lang w:eastAsia="pl-PL"/>
        </w:rPr>
        <w:t xml:space="preserve"> celno-skarbowego</w:t>
      </w:r>
      <w:r w:rsidRPr="008F5AA6">
        <w:rPr>
          <w:rFonts w:ascii="Times New Roman" w:hAnsi="Times New Roman"/>
          <w:sz w:val="24"/>
          <w:szCs w:val="24"/>
          <w:lang w:eastAsia="pl-PL"/>
        </w:rPr>
        <w:t xml:space="preserve">, </w:t>
      </w:r>
      <w:r w:rsidRPr="008F5AA6">
        <w:rPr>
          <w:rFonts w:ascii="Times New Roman" w:hAnsi="Times New Roman"/>
          <w:b/>
          <w:sz w:val="24"/>
          <w:szCs w:val="24"/>
          <w:lang w:eastAsia="pl-PL"/>
        </w:rPr>
        <w:t xml:space="preserve">właściwego </w:t>
      </w:r>
      <w:r>
        <w:rPr>
          <w:rFonts w:ascii="Times New Roman" w:hAnsi="Times New Roman"/>
          <w:b/>
          <w:i/>
          <w:sz w:val="24"/>
          <w:szCs w:val="24"/>
          <w:lang w:eastAsia="pl-PL"/>
        </w:rPr>
        <w:t xml:space="preserve">według miejsca, </w:t>
      </w:r>
      <w:r w:rsidRPr="008F5AA6">
        <w:rPr>
          <w:rFonts w:ascii="Times New Roman" w:hAnsi="Times New Roman"/>
          <w:b/>
          <w:i/>
          <w:sz w:val="24"/>
          <w:szCs w:val="24"/>
          <w:lang w:eastAsia="pl-PL"/>
        </w:rPr>
        <w:t xml:space="preserve">w którym są prowadzone lub dostępne w systemie teleinformatycznym główne księgi rachunkowe wnioskodawcy na potrzeby celne.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u w:val="single"/>
        </w:rPr>
      </w:pPr>
      <w:r w:rsidRPr="008F5AA6">
        <w:rPr>
          <w:rFonts w:ascii="Times New Roman" w:eastAsia="Cambria" w:hAnsi="Times New Roman"/>
          <w:sz w:val="24"/>
          <w:szCs w:val="24"/>
          <w:u w:val="single"/>
        </w:rPr>
        <w:t xml:space="preserve">Przykład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Główna siedziba polskiej firmy sprowadzającej na obszar celny UE herbatę z Indii usytuowana jest w Krakowie. Natomiast w ramach usług outsourcingowych firma ta zleciła kompleksowe prowadzenie swojej księgowości firmie księgowej umiejscowionej w Łodzi.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Zgodnie z krajowymi przepisami</w:t>
      </w:r>
      <w:r w:rsidRPr="008F5AA6">
        <w:rPr>
          <w:rFonts w:ascii="Times New Roman" w:eastAsia="Cambria" w:hAnsi="Times New Roman"/>
          <w:b/>
          <w:sz w:val="24"/>
          <w:szCs w:val="24"/>
        </w:rPr>
        <w:t xml:space="preserve"> </w:t>
      </w:r>
      <w:r w:rsidRPr="008F5AA6">
        <w:rPr>
          <w:rFonts w:ascii="Times New Roman" w:eastAsia="Cambria" w:hAnsi="Times New Roman"/>
          <w:sz w:val="24"/>
          <w:szCs w:val="24"/>
        </w:rPr>
        <w:t xml:space="preserve">odnoszącymi się do właściwości organów </w:t>
      </w:r>
      <w:r w:rsidR="0018366C">
        <w:rPr>
          <w:rFonts w:ascii="Times New Roman" w:eastAsia="Cambria" w:hAnsi="Times New Roman"/>
          <w:sz w:val="24"/>
          <w:szCs w:val="24"/>
        </w:rPr>
        <w:t xml:space="preserve">celno-skarbowych </w:t>
      </w:r>
      <w:r w:rsidRPr="008F5AA6">
        <w:rPr>
          <w:rFonts w:ascii="Times New Roman" w:eastAsia="Cambria" w:hAnsi="Times New Roman"/>
          <w:sz w:val="24"/>
          <w:szCs w:val="24"/>
        </w:rPr>
        <w:t xml:space="preserve">możliwe są dwa rozwiązania tego problemu, w zależności od tego czy polska firma z Krakowa będzie mogła przedstawić organom </w:t>
      </w:r>
      <w:r w:rsidR="0018366C">
        <w:rPr>
          <w:rFonts w:ascii="Times New Roman" w:eastAsia="Cambria" w:hAnsi="Times New Roman"/>
          <w:sz w:val="24"/>
          <w:szCs w:val="24"/>
        </w:rPr>
        <w:t xml:space="preserve">celno-skarbowym </w:t>
      </w:r>
      <w:r w:rsidR="007D25B6">
        <w:rPr>
          <w:rFonts w:ascii="Times New Roman" w:eastAsia="Cambria" w:hAnsi="Times New Roman"/>
          <w:sz w:val="24"/>
          <w:szCs w:val="24"/>
        </w:rPr>
        <w:t xml:space="preserve">dostępne w systemie teleinformatycznym </w:t>
      </w:r>
      <w:r w:rsidRPr="008F5AA6">
        <w:rPr>
          <w:rFonts w:ascii="Times New Roman" w:eastAsia="Cambria" w:hAnsi="Times New Roman"/>
          <w:sz w:val="24"/>
          <w:szCs w:val="24"/>
        </w:rPr>
        <w:t xml:space="preserve">w swojej siedzibie w Krakowie księgi rachunkowe prowadzone na potrzeby celne czy też nie: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4473C5" w:rsidP="008F5AA6">
      <w:pPr>
        <w:numPr>
          <w:ilvl w:val="0"/>
          <w:numId w:val="43"/>
        </w:numPr>
        <w:autoSpaceDE w:val="0"/>
        <w:autoSpaceDN w:val="0"/>
        <w:adjustRightInd w:val="0"/>
        <w:spacing w:after="0" w:line="360" w:lineRule="auto"/>
        <w:jc w:val="both"/>
        <w:rPr>
          <w:rFonts w:ascii="Times New Roman" w:eastAsia="Cambria" w:hAnsi="Times New Roman"/>
          <w:sz w:val="24"/>
          <w:szCs w:val="24"/>
        </w:rPr>
      </w:pPr>
      <w:r>
        <w:rPr>
          <w:rFonts w:ascii="Times New Roman" w:eastAsia="Cambria" w:hAnsi="Times New Roman"/>
          <w:sz w:val="24"/>
          <w:szCs w:val="24"/>
        </w:rPr>
        <w:t>J</w:t>
      </w:r>
      <w:r w:rsidR="008F5AA6" w:rsidRPr="008F5AA6">
        <w:rPr>
          <w:rFonts w:ascii="Times New Roman" w:eastAsia="Cambria" w:hAnsi="Times New Roman"/>
          <w:sz w:val="24"/>
          <w:szCs w:val="24"/>
        </w:rPr>
        <w:t>eżeli firma wnioskująca o wydanie przedmiotowego pozwolenia będzie</w:t>
      </w:r>
      <w:r w:rsidR="008F5AA6" w:rsidRPr="00C6505C">
        <w:rPr>
          <w:rFonts w:ascii="Times New Roman" w:eastAsia="Cambria" w:hAnsi="Times New Roman"/>
          <w:b/>
          <w:sz w:val="24"/>
          <w:szCs w:val="24"/>
        </w:rPr>
        <w:t xml:space="preserve"> </w:t>
      </w:r>
      <w:r w:rsidR="008F5AA6" w:rsidRPr="00915843">
        <w:rPr>
          <w:rFonts w:ascii="Times New Roman" w:eastAsia="Cambria" w:hAnsi="Times New Roman"/>
          <w:b/>
          <w:sz w:val="24"/>
          <w:szCs w:val="24"/>
        </w:rPr>
        <w:t>mogła</w:t>
      </w:r>
      <w:r w:rsidR="008F5AA6" w:rsidRPr="00915843">
        <w:rPr>
          <w:rFonts w:ascii="Times New Roman" w:eastAsia="Cambria" w:hAnsi="Times New Roman"/>
          <w:sz w:val="24"/>
          <w:szCs w:val="24"/>
        </w:rPr>
        <w:t xml:space="preserve"> </w:t>
      </w:r>
      <w:r w:rsidR="00470504" w:rsidRPr="00915843">
        <w:rPr>
          <w:rFonts w:ascii="Times New Roman" w:eastAsia="Cambria" w:hAnsi="Times New Roman"/>
          <w:b/>
          <w:sz w:val="24"/>
          <w:szCs w:val="24"/>
        </w:rPr>
        <w:t xml:space="preserve">przedstawić </w:t>
      </w:r>
      <w:r w:rsidR="008F5AA6" w:rsidRPr="008F5AA6">
        <w:rPr>
          <w:rFonts w:ascii="Times New Roman" w:eastAsia="Cambria" w:hAnsi="Times New Roman"/>
          <w:sz w:val="24"/>
          <w:szCs w:val="24"/>
        </w:rPr>
        <w:t xml:space="preserve">organom </w:t>
      </w:r>
      <w:r w:rsidR="0018366C">
        <w:rPr>
          <w:rFonts w:ascii="Times New Roman" w:eastAsia="Cambria" w:hAnsi="Times New Roman"/>
          <w:sz w:val="24"/>
          <w:szCs w:val="24"/>
        </w:rPr>
        <w:t xml:space="preserve">celno-skarbowym </w:t>
      </w:r>
      <w:r w:rsidR="00470504">
        <w:rPr>
          <w:rFonts w:ascii="Times New Roman" w:eastAsia="Cambria" w:hAnsi="Times New Roman"/>
          <w:sz w:val="24"/>
          <w:szCs w:val="24"/>
        </w:rPr>
        <w:t xml:space="preserve">dostępne w systemie teleinformatycznym </w:t>
      </w:r>
      <w:r>
        <w:rPr>
          <w:rFonts w:ascii="Times New Roman" w:eastAsia="Cambria" w:hAnsi="Times New Roman"/>
          <w:sz w:val="24"/>
          <w:szCs w:val="24"/>
        </w:rPr>
        <w:br/>
      </w:r>
      <w:r w:rsidR="008F5AA6" w:rsidRPr="008F5AA6">
        <w:rPr>
          <w:rFonts w:ascii="Times New Roman" w:eastAsia="Cambria" w:hAnsi="Times New Roman"/>
          <w:sz w:val="24"/>
          <w:szCs w:val="24"/>
        </w:rPr>
        <w:t xml:space="preserve">w swojej siedzibie w Krakowie księgi rachunkowe prowadzone na potrzeby celne, </w:t>
      </w:r>
      <w:r>
        <w:rPr>
          <w:rFonts w:ascii="Times New Roman" w:eastAsia="Cambria" w:hAnsi="Times New Roman"/>
          <w:sz w:val="24"/>
          <w:szCs w:val="24"/>
        </w:rPr>
        <w:br/>
      </w:r>
      <w:r w:rsidR="008F5AA6" w:rsidRPr="008F5AA6">
        <w:rPr>
          <w:rFonts w:ascii="Times New Roman" w:eastAsia="Cambria" w:hAnsi="Times New Roman"/>
          <w:sz w:val="24"/>
          <w:szCs w:val="24"/>
        </w:rPr>
        <w:t xml:space="preserve">to organem właściwym do rozpatrzenia wniosku będzie Naczelnik Urzędu </w:t>
      </w:r>
      <w:r w:rsidR="00915843">
        <w:rPr>
          <w:rFonts w:ascii="Times New Roman" w:eastAsia="Cambria" w:hAnsi="Times New Roman"/>
          <w:sz w:val="24"/>
          <w:szCs w:val="24"/>
        </w:rPr>
        <w:t xml:space="preserve">Celno-Skarbowego </w:t>
      </w:r>
      <w:r w:rsidR="00915843" w:rsidRPr="008F5AA6">
        <w:rPr>
          <w:rFonts w:ascii="Times New Roman" w:eastAsia="Cambria" w:hAnsi="Times New Roman"/>
          <w:sz w:val="24"/>
          <w:szCs w:val="24"/>
        </w:rPr>
        <w:t>w</w:t>
      </w:r>
      <w:r>
        <w:rPr>
          <w:rFonts w:ascii="Times New Roman" w:eastAsia="Cambria" w:hAnsi="Times New Roman"/>
          <w:sz w:val="24"/>
          <w:szCs w:val="24"/>
        </w:rPr>
        <w:t xml:space="preserve"> Krakowie.</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F24813" w:rsidRDefault="004473C5" w:rsidP="008F5AA6">
      <w:pPr>
        <w:numPr>
          <w:ilvl w:val="0"/>
          <w:numId w:val="43"/>
        </w:numPr>
        <w:autoSpaceDE w:val="0"/>
        <w:autoSpaceDN w:val="0"/>
        <w:adjustRightInd w:val="0"/>
        <w:spacing w:after="0" w:line="360" w:lineRule="auto"/>
        <w:jc w:val="both"/>
        <w:rPr>
          <w:rFonts w:ascii="Times New Roman" w:eastAsia="Cambria" w:hAnsi="Times New Roman"/>
          <w:sz w:val="24"/>
          <w:szCs w:val="24"/>
        </w:rPr>
      </w:pPr>
      <w:r>
        <w:rPr>
          <w:rFonts w:ascii="Times New Roman" w:eastAsia="Cambria" w:hAnsi="Times New Roman"/>
          <w:sz w:val="24"/>
          <w:szCs w:val="24"/>
        </w:rPr>
        <w:t>J</w:t>
      </w:r>
      <w:r w:rsidR="008F5AA6" w:rsidRPr="008F5AA6">
        <w:rPr>
          <w:rFonts w:ascii="Times New Roman" w:eastAsia="Cambria" w:hAnsi="Times New Roman"/>
          <w:sz w:val="24"/>
          <w:szCs w:val="24"/>
        </w:rPr>
        <w:t xml:space="preserve">eżeli firma wnioskująca </w:t>
      </w:r>
      <w:r w:rsidR="008F5AA6" w:rsidRPr="00915843">
        <w:rPr>
          <w:rFonts w:ascii="Times New Roman" w:eastAsia="Cambria" w:hAnsi="Times New Roman"/>
          <w:b/>
          <w:sz w:val="24"/>
          <w:szCs w:val="24"/>
        </w:rPr>
        <w:t>nie będzie mogła</w:t>
      </w:r>
      <w:r w:rsidR="008F5AA6" w:rsidRPr="00915843">
        <w:rPr>
          <w:rFonts w:ascii="Times New Roman" w:eastAsia="Cambria" w:hAnsi="Times New Roman"/>
          <w:sz w:val="24"/>
          <w:szCs w:val="24"/>
        </w:rPr>
        <w:t xml:space="preserve"> </w:t>
      </w:r>
      <w:r w:rsidR="00470504" w:rsidRPr="00915843">
        <w:rPr>
          <w:rFonts w:ascii="Times New Roman" w:eastAsia="Cambria" w:hAnsi="Times New Roman"/>
          <w:b/>
          <w:sz w:val="24"/>
          <w:szCs w:val="24"/>
        </w:rPr>
        <w:t>przedstawić</w:t>
      </w:r>
      <w:r w:rsidR="00470504" w:rsidRPr="008F5AA6">
        <w:rPr>
          <w:rFonts w:ascii="Times New Roman" w:eastAsia="Cambria" w:hAnsi="Times New Roman"/>
          <w:sz w:val="24"/>
          <w:szCs w:val="24"/>
        </w:rPr>
        <w:t xml:space="preserve"> </w:t>
      </w:r>
      <w:r w:rsidR="008F5AA6" w:rsidRPr="008F5AA6">
        <w:rPr>
          <w:rFonts w:ascii="Times New Roman" w:eastAsia="Cambria" w:hAnsi="Times New Roman"/>
          <w:sz w:val="24"/>
          <w:szCs w:val="24"/>
        </w:rPr>
        <w:t xml:space="preserve">organom </w:t>
      </w:r>
      <w:r w:rsidR="0018366C">
        <w:rPr>
          <w:rFonts w:ascii="Times New Roman" w:eastAsia="Cambria" w:hAnsi="Times New Roman"/>
          <w:sz w:val="24"/>
          <w:szCs w:val="24"/>
        </w:rPr>
        <w:t xml:space="preserve">celno-skarbowym </w:t>
      </w:r>
      <w:r>
        <w:rPr>
          <w:rFonts w:ascii="Times New Roman" w:eastAsia="Cambria" w:hAnsi="Times New Roman"/>
          <w:sz w:val="24"/>
          <w:szCs w:val="24"/>
        </w:rPr>
        <w:br/>
      </w:r>
      <w:r w:rsidR="008F5AA6" w:rsidRPr="008F5AA6">
        <w:rPr>
          <w:rFonts w:ascii="Times New Roman" w:eastAsia="Cambria" w:hAnsi="Times New Roman"/>
          <w:sz w:val="24"/>
          <w:szCs w:val="24"/>
        </w:rPr>
        <w:t xml:space="preserve">w swojej siedzibie w Krakowie ksiąg rachunkowych </w:t>
      </w:r>
      <w:r w:rsidR="00470504">
        <w:rPr>
          <w:rFonts w:ascii="Times New Roman" w:eastAsia="Cambria" w:hAnsi="Times New Roman"/>
          <w:sz w:val="24"/>
          <w:szCs w:val="24"/>
        </w:rPr>
        <w:t xml:space="preserve">dostępnych w systemie teleinformatycznym </w:t>
      </w:r>
      <w:r w:rsidR="008F5AA6" w:rsidRPr="008F5AA6">
        <w:rPr>
          <w:rFonts w:ascii="Times New Roman" w:eastAsia="Cambria" w:hAnsi="Times New Roman"/>
          <w:sz w:val="24"/>
          <w:szCs w:val="24"/>
        </w:rPr>
        <w:t xml:space="preserve">prowadzonych na potrzeby celne, to organem właściwym do </w:t>
      </w:r>
      <w:r w:rsidR="008F5AA6" w:rsidRPr="008F5AA6">
        <w:rPr>
          <w:rFonts w:ascii="Times New Roman" w:eastAsia="Cambria" w:hAnsi="Times New Roman"/>
          <w:sz w:val="24"/>
          <w:szCs w:val="24"/>
        </w:rPr>
        <w:lastRenderedPageBreak/>
        <w:t xml:space="preserve">rozpatrzenia wniosku o wydanie przedmiotowego pozwolenia będzie Naczelnik Urzędu </w:t>
      </w:r>
      <w:r w:rsidR="00915843">
        <w:rPr>
          <w:rFonts w:ascii="Times New Roman" w:eastAsia="Cambria" w:hAnsi="Times New Roman"/>
          <w:sz w:val="24"/>
          <w:szCs w:val="24"/>
        </w:rPr>
        <w:t xml:space="preserve">Celno-Skarbowego </w:t>
      </w:r>
      <w:r w:rsidR="00915843" w:rsidRPr="008F5AA6">
        <w:rPr>
          <w:rFonts w:ascii="Times New Roman" w:eastAsia="Cambria" w:hAnsi="Times New Roman"/>
          <w:sz w:val="24"/>
          <w:szCs w:val="24"/>
        </w:rPr>
        <w:t>w</w:t>
      </w:r>
      <w:r w:rsidR="008F5AA6" w:rsidRPr="008F5AA6">
        <w:rPr>
          <w:rFonts w:ascii="Times New Roman" w:eastAsia="Cambria" w:hAnsi="Times New Roman"/>
          <w:sz w:val="24"/>
          <w:szCs w:val="24"/>
        </w:rPr>
        <w:t xml:space="preserve"> Łodzi. </w:t>
      </w:r>
    </w:p>
    <w:p w:rsidR="00F24813" w:rsidRDefault="00F24813" w:rsidP="00F24813">
      <w:pPr>
        <w:pStyle w:val="Akapitzlist"/>
        <w:rPr>
          <w:rFonts w:ascii="Times New Roman" w:eastAsia="Cambria" w:hAnsi="Times New Roman"/>
          <w:sz w:val="24"/>
          <w:szCs w:val="24"/>
        </w:rPr>
      </w:pPr>
    </w:p>
    <w:p w:rsidR="008F5AA6" w:rsidRDefault="008F5AA6" w:rsidP="008F5AA6">
      <w:pPr>
        <w:autoSpaceDE w:val="0"/>
        <w:autoSpaceDN w:val="0"/>
        <w:adjustRightInd w:val="0"/>
        <w:spacing w:after="0" w:line="360" w:lineRule="auto"/>
        <w:jc w:val="both"/>
        <w:rPr>
          <w:rFonts w:ascii="Times New Roman" w:eastAsia="Cambria" w:hAnsi="Times New Roman"/>
          <w:i/>
          <w:color w:val="000000"/>
          <w:sz w:val="24"/>
          <w:szCs w:val="24"/>
          <w:lang w:eastAsia="pl-PL"/>
        </w:rPr>
      </w:pPr>
      <w:r w:rsidRPr="008F5AA6">
        <w:rPr>
          <w:rFonts w:ascii="Times New Roman" w:eastAsia="Cambria" w:hAnsi="Times New Roman"/>
          <w:bCs/>
          <w:color w:val="000000"/>
          <w:sz w:val="24"/>
          <w:szCs w:val="24"/>
          <w:lang w:eastAsia="pl-PL"/>
        </w:rPr>
        <w:t xml:space="preserve">Należy w tym miejscu podkreślić, że zgodnie z przepisami art. 11a ust. 2 </w:t>
      </w:r>
      <w:r w:rsidRPr="008F5AA6">
        <w:rPr>
          <w:rFonts w:ascii="Times New Roman" w:eastAsia="Cambria" w:hAnsi="Times New Roman"/>
          <w:bCs/>
          <w:i/>
          <w:color w:val="000000"/>
          <w:sz w:val="24"/>
          <w:szCs w:val="24"/>
          <w:lang w:eastAsia="pl-PL"/>
        </w:rPr>
        <w:t xml:space="preserve">ustawy z dnia </w:t>
      </w:r>
      <w:r w:rsidRPr="008F5AA6">
        <w:rPr>
          <w:rFonts w:ascii="Times New Roman" w:eastAsia="Cambria" w:hAnsi="Times New Roman"/>
          <w:bCs/>
          <w:i/>
          <w:color w:val="000000"/>
          <w:sz w:val="24"/>
          <w:szCs w:val="24"/>
          <w:lang w:eastAsia="pl-PL"/>
        </w:rPr>
        <w:br/>
        <w:t>29 września 1994 r. o rachunkowości</w:t>
      </w:r>
      <w:r w:rsidRPr="008F5AA6">
        <w:rPr>
          <w:rFonts w:ascii="Times New Roman" w:eastAsia="Cambria" w:hAnsi="Times New Roman"/>
          <w:bCs/>
          <w:i/>
          <w:color w:val="000000"/>
          <w:sz w:val="24"/>
          <w:szCs w:val="24"/>
          <w:vertAlign w:val="superscript"/>
          <w:lang w:eastAsia="pl-PL"/>
        </w:rPr>
        <w:footnoteReference w:id="7"/>
      </w:r>
      <w:r w:rsidRPr="008F5AA6">
        <w:rPr>
          <w:rFonts w:ascii="Times New Roman" w:eastAsia="Cambria" w:hAnsi="Times New Roman"/>
          <w:bCs/>
          <w:color w:val="000000"/>
          <w:sz w:val="24"/>
          <w:szCs w:val="24"/>
          <w:lang w:eastAsia="pl-PL"/>
        </w:rPr>
        <w:t xml:space="preserve"> </w:t>
      </w:r>
      <w:r w:rsidRPr="008F5AA6">
        <w:rPr>
          <w:rFonts w:ascii="Times New Roman" w:eastAsia="Cambria" w:hAnsi="Times New Roman"/>
          <w:i/>
          <w:color w:val="000000"/>
          <w:sz w:val="24"/>
          <w:szCs w:val="24"/>
          <w:lang w:eastAsia="pl-PL"/>
        </w:rPr>
        <w:t xml:space="preserve">W </w:t>
      </w:r>
      <w:proofErr w:type="gramStart"/>
      <w:r w:rsidRPr="008F5AA6">
        <w:rPr>
          <w:rFonts w:ascii="Times New Roman" w:eastAsia="Cambria" w:hAnsi="Times New Roman"/>
          <w:i/>
          <w:color w:val="000000"/>
          <w:sz w:val="24"/>
          <w:szCs w:val="24"/>
          <w:lang w:eastAsia="pl-PL"/>
        </w:rPr>
        <w:t>przypadku gdy</w:t>
      </w:r>
      <w:proofErr w:type="gramEnd"/>
      <w:r w:rsidRPr="008F5AA6">
        <w:rPr>
          <w:rFonts w:ascii="Times New Roman" w:eastAsia="Cambria" w:hAnsi="Times New Roman"/>
          <w:i/>
          <w:color w:val="000000"/>
          <w:sz w:val="24"/>
          <w:szCs w:val="24"/>
          <w:lang w:eastAsia="pl-PL"/>
        </w:rPr>
        <w:t xml:space="preserve"> księgi rachunkowe są prowadzone poza siedzibą jednostki lub miejscem sprawowania zarządu, kierownik jednostki jest obowiązany zapewnić dostępność ksiąg rachunkowych wraz z dowodami księgowymi uprawnionym organom zewnętrznej kontroli lub nadzoru w siedzibie jednostki lub w miejscu sprawowania zarządu albo w innym miejscu za zgodą organu kontroli lub nadzoru.</w:t>
      </w:r>
    </w:p>
    <w:p w:rsidR="00915843" w:rsidRPr="008F5AA6" w:rsidRDefault="00915843" w:rsidP="008F5AA6">
      <w:pPr>
        <w:autoSpaceDE w:val="0"/>
        <w:autoSpaceDN w:val="0"/>
        <w:adjustRightInd w:val="0"/>
        <w:spacing w:after="0" w:line="360" w:lineRule="auto"/>
        <w:jc w:val="both"/>
        <w:rPr>
          <w:rFonts w:ascii="Times New Roman" w:eastAsia="Cambria" w:hAnsi="Times New Roman"/>
          <w:i/>
          <w:color w:val="000000"/>
          <w:sz w:val="24"/>
          <w:szCs w:val="24"/>
          <w:lang w:eastAsia="pl-PL"/>
        </w:rPr>
      </w:pPr>
    </w:p>
    <w:p w:rsidR="008F5AA6" w:rsidRPr="008F5AA6" w:rsidRDefault="008F5AA6" w:rsidP="008F5AA6">
      <w:pPr>
        <w:numPr>
          <w:ilvl w:val="0"/>
          <w:numId w:val="34"/>
        </w:numPr>
        <w:autoSpaceDE w:val="0"/>
        <w:autoSpaceDN w:val="0"/>
        <w:adjustRightInd w:val="0"/>
        <w:spacing w:after="0" w:line="360" w:lineRule="auto"/>
        <w:jc w:val="both"/>
        <w:rPr>
          <w:rFonts w:ascii="Times New Roman" w:eastAsia="Cambria" w:hAnsi="Times New Roman"/>
          <w:b/>
          <w:color w:val="FF0000"/>
          <w:sz w:val="28"/>
          <w:szCs w:val="28"/>
        </w:rPr>
      </w:pPr>
      <w:r w:rsidRPr="008F5AA6">
        <w:rPr>
          <w:rFonts w:ascii="Times New Roman" w:eastAsia="Cambria" w:hAnsi="Times New Roman"/>
          <w:b/>
          <w:color w:val="FF0000"/>
          <w:sz w:val="28"/>
          <w:szCs w:val="28"/>
        </w:rPr>
        <w:t xml:space="preserve">UNIJNE PRZEPISY HORYZONTALNE ORAZ PRZEPISY KRAJOWE STOSOWANE DO ROZPATRYWANIA WNIOSKÓW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38"/>
        </w:numPr>
        <w:autoSpaceDE w:val="0"/>
        <w:autoSpaceDN w:val="0"/>
        <w:adjustRightInd w:val="0"/>
        <w:spacing w:after="0" w:line="360" w:lineRule="auto"/>
        <w:jc w:val="both"/>
        <w:rPr>
          <w:rFonts w:ascii="Times New Roman" w:eastAsia="Cambria" w:hAnsi="Times New Roman"/>
          <w:sz w:val="24"/>
          <w:szCs w:val="24"/>
          <w:u w:val="single"/>
        </w:rPr>
      </w:pPr>
      <w:r w:rsidRPr="008F5AA6">
        <w:rPr>
          <w:rFonts w:ascii="Times New Roman" w:eastAsia="Cambria" w:hAnsi="Times New Roman"/>
          <w:sz w:val="24"/>
          <w:szCs w:val="24"/>
        </w:rPr>
        <w:t>Do rozpatrywania wniosków o wydanie pozwolenia na uproszczone określanie elementów wartości celnej, o którym mowa w art. 73 UKC w pierwszej kolejności będą miały zastosowanie unijne przepisy horyzontalne. Są to przepisy unijnego prawodawstwa celnego zawarte, w szczególności, w art. 15 ust. 2 UKC i w tytule I rozdziału 2 sekcji 3 (</w:t>
      </w:r>
      <w:r w:rsidRPr="008F5AA6">
        <w:rPr>
          <w:rFonts w:ascii="Times New Roman" w:eastAsia="Cambria" w:hAnsi="Times New Roman"/>
          <w:b/>
          <w:i/>
          <w:sz w:val="24"/>
          <w:szCs w:val="24"/>
        </w:rPr>
        <w:t>Decyzje dotyczące stosowania przepisów prawa celnego</w:t>
      </w:r>
      <w:r w:rsidRPr="008F5AA6">
        <w:rPr>
          <w:rFonts w:ascii="Times New Roman" w:eastAsia="Cambria" w:hAnsi="Times New Roman"/>
          <w:i/>
          <w:sz w:val="24"/>
          <w:szCs w:val="24"/>
        </w:rPr>
        <w:t>)</w:t>
      </w:r>
      <w:r w:rsidRPr="008F5AA6">
        <w:rPr>
          <w:rFonts w:ascii="Times New Roman" w:eastAsia="Cambria" w:hAnsi="Times New Roman"/>
          <w:sz w:val="24"/>
          <w:szCs w:val="24"/>
        </w:rPr>
        <w:t xml:space="preserve"> oraz sekcji 6 (</w:t>
      </w:r>
      <w:r w:rsidRPr="008F5AA6">
        <w:rPr>
          <w:rFonts w:ascii="Times New Roman" w:eastAsia="Cambria" w:hAnsi="Times New Roman"/>
          <w:b/>
          <w:i/>
          <w:sz w:val="24"/>
          <w:szCs w:val="24"/>
        </w:rPr>
        <w:t>Odwołania</w:t>
      </w:r>
      <w:r w:rsidRPr="008F5AA6">
        <w:rPr>
          <w:rFonts w:ascii="Times New Roman" w:eastAsia="Cambria" w:hAnsi="Times New Roman"/>
          <w:sz w:val="24"/>
          <w:szCs w:val="24"/>
        </w:rPr>
        <w:t xml:space="preserve">) tego kodeksu, a także w przepisach wykonawczych oraz delegowanych wydanych do tych przepisów, które zawarte są w </w:t>
      </w:r>
      <w:r w:rsidR="00C6505C">
        <w:rPr>
          <w:rFonts w:ascii="Times New Roman" w:eastAsia="Cambria" w:hAnsi="Times New Roman"/>
          <w:sz w:val="24"/>
          <w:szCs w:val="24"/>
        </w:rPr>
        <w:t xml:space="preserve">UKC </w:t>
      </w:r>
      <w:r w:rsidRPr="008F5AA6">
        <w:rPr>
          <w:rFonts w:ascii="Times New Roman" w:eastAsia="Cambria" w:hAnsi="Times New Roman"/>
          <w:sz w:val="24"/>
          <w:szCs w:val="24"/>
        </w:rPr>
        <w:t xml:space="preserve">RW i </w:t>
      </w:r>
      <w:r w:rsidR="00C6505C">
        <w:rPr>
          <w:rFonts w:ascii="Times New Roman" w:eastAsia="Cambria" w:hAnsi="Times New Roman"/>
          <w:sz w:val="24"/>
          <w:szCs w:val="24"/>
        </w:rPr>
        <w:t xml:space="preserve">UKC </w:t>
      </w:r>
      <w:r w:rsidRPr="008F5AA6">
        <w:rPr>
          <w:rFonts w:ascii="Times New Roman" w:eastAsia="Cambria" w:hAnsi="Times New Roman"/>
          <w:sz w:val="24"/>
          <w:szCs w:val="24"/>
        </w:rPr>
        <w:t>RD.</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u w:val="single"/>
        </w:rPr>
      </w:pPr>
    </w:p>
    <w:p w:rsidR="008F5AA6" w:rsidRPr="008F5AA6" w:rsidRDefault="008F5AA6" w:rsidP="008F5AA6">
      <w:pPr>
        <w:numPr>
          <w:ilvl w:val="0"/>
          <w:numId w:val="38"/>
        </w:numPr>
        <w:autoSpaceDE w:val="0"/>
        <w:autoSpaceDN w:val="0"/>
        <w:adjustRightInd w:val="0"/>
        <w:spacing w:after="0" w:line="360" w:lineRule="auto"/>
        <w:jc w:val="both"/>
        <w:rPr>
          <w:rFonts w:ascii="Times New Roman" w:eastAsia="Cambria" w:hAnsi="Times New Roman"/>
          <w:i/>
          <w:sz w:val="24"/>
          <w:szCs w:val="24"/>
        </w:rPr>
      </w:pPr>
      <w:r w:rsidRPr="008F5AA6">
        <w:rPr>
          <w:rFonts w:ascii="Times New Roman" w:eastAsia="Cambria" w:hAnsi="Times New Roman"/>
          <w:sz w:val="24"/>
          <w:szCs w:val="24"/>
        </w:rPr>
        <w:t xml:space="preserve">Natomiast w zakresie nieuregulowanym unijnymi przepisami celnymi do rozpatrywania wniosków o wydanie przedmiotowego pozwolenia będą miały zastosowanie przepisy krajowe. W myśl przepisów art. 73 ust. 1 </w:t>
      </w:r>
      <w:r w:rsidRPr="008F5AA6">
        <w:rPr>
          <w:rFonts w:ascii="Times New Roman" w:eastAsia="Cambria" w:hAnsi="Times New Roman"/>
          <w:i/>
          <w:sz w:val="24"/>
          <w:szCs w:val="24"/>
        </w:rPr>
        <w:t>ustawy z dnia 19 marca 2004 r. – Prawo celne</w:t>
      </w:r>
      <w:r w:rsidRPr="008F5AA6">
        <w:rPr>
          <w:rFonts w:ascii="Times New Roman" w:eastAsia="Cambria" w:hAnsi="Times New Roman"/>
          <w:i/>
          <w:sz w:val="24"/>
          <w:szCs w:val="24"/>
          <w:vertAlign w:val="superscript"/>
        </w:rPr>
        <w:footnoteReference w:id="8"/>
      </w:r>
      <w:r w:rsidRPr="008F5AA6">
        <w:rPr>
          <w:rFonts w:ascii="Times New Roman" w:eastAsia="Cambria" w:hAnsi="Times New Roman"/>
          <w:sz w:val="24"/>
          <w:szCs w:val="24"/>
        </w:rPr>
        <w:t xml:space="preserve"> </w:t>
      </w:r>
      <w:r w:rsidRPr="008F5AA6">
        <w:rPr>
          <w:rFonts w:ascii="Times New Roman" w:eastAsia="Cambria" w:hAnsi="Times New Roman"/>
          <w:sz w:val="24"/>
          <w:szCs w:val="24"/>
        </w:rPr>
        <w:br/>
      </w:r>
      <w:r w:rsidRPr="008F5AA6">
        <w:rPr>
          <w:rFonts w:ascii="Times New Roman" w:eastAsia="Cambria" w:hAnsi="Times New Roman"/>
          <w:i/>
          <w:sz w:val="24"/>
          <w:szCs w:val="24"/>
        </w:rPr>
        <w:t xml:space="preserve"> </w:t>
      </w:r>
      <w:r w:rsidRPr="008F5AA6">
        <w:rPr>
          <w:rFonts w:ascii="Times New Roman" w:hAnsi="Times New Roman"/>
          <w:i/>
          <w:sz w:val="24"/>
          <w:szCs w:val="24"/>
          <w:lang w:eastAsia="pl-PL"/>
        </w:rPr>
        <w:t xml:space="preserve">Do postępowania w sprawach celnych stosuje się odpowiednio przepisy art. 12, art. 141-143, art. 168, art. 170 oraz działu IV rozdziałów 2, 5, 6, 9, 10, 11 - z wyłączeniem art. 200, oraz rozdziałów 21-23 ustawy z dnia 29 sierpnia 1997 r. - Ordynacja podatkowa, a do </w:t>
      </w:r>
      <w:proofErr w:type="spellStart"/>
      <w:r w:rsidRPr="008F5AA6">
        <w:rPr>
          <w:rFonts w:ascii="Times New Roman" w:hAnsi="Times New Roman"/>
          <w:i/>
          <w:sz w:val="24"/>
          <w:szCs w:val="24"/>
          <w:lang w:eastAsia="pl-PL"/>
        </w:rPr>
        <w:t>odwołań</w:t>
      </w:r>
      <w:proofErr w:type="spellEnd"/>
      <w:r w:rsidRPr="008F5AA6">
        <w:rPr>
          <w:rFonts w:ascii="Times New Roman" w:hAnsi="Times New Roman"/>
          <w:i/>
          <w:sz w:val="24"/>
          <w:szCs w:val="24"/>
          <w:lang w:eastAsia="pl-PL"/>
        </w:rPr>
        <w:t xml:space="preserve"> stosuje się odpowiednio także przepisy art. 140 § 1, art. 162 § 1-3, art. 163 § 2, art. 169 § 1 i 1a, art. 210 § 1 pkt 1-6 i 8 oraz § 2, art. 220-223, art. 226-229, art. 232, art. 233 § 1 i 2, art. 234 oraz art. 234a tej ustawy</w:t>
      </w:r>
      <w:r w:rsidRPr="008F5AA6">
        <w:rPr>
          <w:rFonts w:ascii="Times New Roman" w:hAnsi="Times New Roman"/>
          <w:sz w:val="24"/>
          <w:szCs w:val="24"/>
          <w:lang w:eastAsia="pl-PL"/>
        </w:rPr>
        <w:t>.</w:t>
      </w:r>
    </w:p>
    <w:p w:rsidR="008F5AA6" w:rsidRPr="008F5AA6" w:rsidRDefault="008F5AA6" w:rsidP="008F5AA6">
      <w:pPr>
        <w:numPr>
          <w:ilvl w:val="0"/>
          <w:numId w:val="38"/>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lastRenderedPageBreak/>
        <w:t xml:space="preserve">Postępowanie celne zainicjowane złożeniem wniosku o wydanie pozwolenia na korzystanie z przedmiotowego uproszczenia można podzielić na dwa podstawowe etapy: </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8F5AA6" w:rsidRPr="008F5AA6" w:rsidRDefault="008F5AA6" w:rsidP="008F5AA6">
      <w:pPr>
        <w:numPr>
          <w:ilvl w:val="0"/>
          <w:numId w:val="39"/>
        </w:numPr>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b/>
          <w:sz w:val="24"/>
          <w:szCs w:val="24"/>
        </w:rPr>
        <w:t xml:space="preserve">Badanie przesłanek przedmiotowych </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915843" w:rsidRDefault="008F5AA6" w:rsidP="004473C5">
      <w:pPr>
        <w:autoSpaceDE w:val="0"/>
        <w:autoSpaceDN w:val="0"/>
        <w:adjustRightInd w:val="0"/>
        <w:spacing w:after="0" w:line="360" w:lineRule="auto"/>
        <w:ind w:left="360"/>
        <w:jc w:val="both"/>
        <w:rPr>
          <w:rFonts w:ascii="Times New Roman" w:eastAsia="Cambria" w:hAnsi="Times New Roman"/>
          <w:sz w:val="24"/>
          <w:szCs w:val="24"/>
        </w:rPr>
      </w:pPr>
      <w:r w:rsidRPr="008F5AA6">
        <w:rPr>
          <w:rFonts w:ascii="Times New Roman" w:eastAsia="Cambria" w:hAnsi="Times New Roman"/>
          <w:sz w:val="24"/>
          <w:szCs w:val="24"/>
        </w:rPr>
        <w:t xml:space="preserve">W </w:t>
      </w:r>
      <w:proofErr w:type="gramStart"/>
      <w:r w:rsidRPr="008F5AA6">
        <w:rPr>
          <w:rFonts w:ascii="Times New Roman" w:eastAsia="Cambria" w:hAnsi="Times New Roman"/>
          <w:sz w:val="24"/>
          <w:szCs w:val="24"/>
        </w:rPr>
        <w:t>przypadku gdy</w:t>
      </w:r>
      <w:proofErr w:type="gramEnd"/>
      <w:r w:rsidRPr="008F5AA6">
        <w:rPr>
          <w:rFonts w:ascii="Times New Roman" w:eastAsia="Cambria" w:hAnsi="Times New Roman"/>
          <w:sz w:val="24"/>
          <w:szCs w:val="24"/>
        </w:rPr>
        <w:t xml:space="preserve"> warunki przedmiotowe udzielenia ww. pozwolenia nie są spełnione </w:t>
      </w:r>
      <w:r w:rsidRPr="008F5AA6">
        <w:rPr>
          <w:rFonts w:ascii="Times New Roman" w:eastAsia="Cambria" w:hAnsi="Times New Roman"/>
          <w:sz w:val="24"/>
          <w:szCs w:val="24"/>
        </w:rPr>
        <w:br/>
        <w:t xml:space="preserve">(np. zastosowanie uproszczonego zgłoszenia celnego nie wiąże się z poniesieniem nieproporcjonalnych kosztów administracyjnych, ponieważ zgłaszający niezwykle rzadko zgłasza towary, których wartość celna nie może być ustalona w chwili zgłaszania tych towarów, do procedury dopuszczenia do obrotu na obszarze celnym UE), </w:t>
      </w:r>
      <w:r w:rsidR="00915843" w:rsidRPr="00915843">
        <w:rPr>
          <w:rFonts w:ascii="Times New Roman" w:eastAsia="Cambria" w:hAnsi="Times New Roman"/>
          <w:sz w:val="24"/>
          <w:szCs w:val="24"/>
        </w:rPr>
        <w:t>organ celno-skarbowy</w:t>
      </w:r>
      <w:r w:rsidR="00C51EF3" w:rsidRPr="00915843">
        <w:rPr>
          <w:rFonts w:ascii="Times New Roman" w:eastAsia="Cambria" w:hAnsi="Times New Roman"/>
          <w:sz w:val="24"/>
          <w:szCs w:val="24"/>
        </w:rPr>
        <w:t xml:space="preserve"> </w:t>
      </w:r>
      <w:r w:rsidRPr="00915843">
        <w:rPr>
          <w:rFonts w:ascii="Times New Roman" w:eastAsia="Cambria" w:hAnsi="Times New Roman"/>
          <w:sz w:val="24"/>
          <w:szCs w:val="24"/>
        </w:rPr>
        <w:t xml:space="preserve">wyda decyzję o odmowie udzielenia pozwolenia na korzystanie z tego uproszczenia. Od takiej decyzji przysługuje przedsiębiorcy odwołanie do organu </w:t>
      </w:r>
      <w:r w:rsidR="00C51EF3" w:rsidRPr="00915843">
        <w:rPr>
          <w:rFonts w:ascii="Times New Roman" w:eastAsia="Cambria" w:hAnsi="Times New Roman"/>
          <w:sz w:val="24"/>
          <w:szCs w:val="24"/>
        </w:rPr>
        <w:t>celno-</w:t>
      </w:r>
    </w:p>
    <w:p w:rsidR="008F5AA6" w:rsidRPr="00915843" w:rsidRDefault="00C51EF3" w:rsidP="004473C5">
      <w:pPr>
        <w:autoSpaceDE w:val="0"/>
        <w:autoSpaceDN w:val="0"/>
        <w:adjustRightInd w:val="0"/>
        <w:spacing w:after="0" w:line="360" w:lineRule="auto"/>
        <w:ind w:left="360"/>
        <w:rPr>
          <w:rFonts w:ascii="Times New Roman" w:eastAsia="Cambria" w:hAnsi="Times New Roman"/>
          <w:sz w:val="24"/>
          <w:szCs w:val="24"/>
        </w:rPr>
      </w:pPr>
      <w:proofErr w:type="gramStart"/>
      <w:r w:rsidRPr="00915843">
        <w:rPr>
          <w:rFonts w:ascii="Times New Roman" w:eastAsia="Cambria" w:hAnsi="Times New Roman"/>
          <w:sz w:val="24"/>
          <w:szCs w:val="24"/>
        </w:rPr>
        <w:t>skarbowego</w:t>
      </w:r>
      <w:proofErr w:type="gramEnd"/>
      <w:r w:rsidRPr="00915843">
        <w:rPr>
          <w:rFonts w:ascii="Times New Roman" w:eastAsia="Cambria" w:hAnsi="Times New Roman"/>
          <w:sz w:val="24"/>
          <w:szCs w:val="24"/>
        </w:rPr>
        <w:t xml:space="preserve"> </w:t>
      </w:r>
      <w:r w:rsidR="008F5AA6" w:rsidRPr="00915843">
        <w:rPr>
          <w:rFonts w:ascii="Times New Roman" w:eastAsia="Cambria" w:hAnsi="Times New Roman"/>
          <w:sz w:val="24"/>
          <w:szCs w:val="24"/>
        </w:rPr>
        <w:t xml:space="preserve">wyższego stopnia. </w:t>
      </w:r>
      <w:r w:rsidR="008F5AA6" w:rsidRPr="00915843">
        <w:rPr>
          <w:rFonts w:ascii="Times New Roman" w:eastAsia="Cambria" w:hAnsi="Times New Roman"/>
          <w:sz w:val="24"/>
          <w:szCs w:val="24"/>
        </w:rPr>
        <w:br/>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r w:rsidRPr="008F5AA6">
        <w:rPr>
          <w:rFonts w:ascii="Times New Roman" w:eastAsia="Cambria" w:hAnsi="Times New Roman"/>
          <w:sz w:val="24"/>
          <w:szCs w:val="24"/>
        </w:rPr>
        <w:t xml:space="preserve">W takim przypadku nie są już badane warunki podmiotowe wydania pozwolenia na korzystanie z przedmiotowego uproszczenia. </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8F5AA6" w:rsidRPr="008F5AA6" w:rsidRDefault="008F5AA6" w:rsidP="008F5AA6">
      <w:pPr>
        <w:numPr>
          <w:ilvl w:val="0"/>
          <w:numId w:val="39"/>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b/>
          <w:sz w:val="24"/>
          <w:szCs w:val="24"/>
        </w:rPr>
        <w:t>Badanie przesłanek podmiotowych</w:t>
      </w:r>
    </w:p>
    <w:p w:rsidR="008F5AA6" w:rsidRPr="008F5AA6" w:rsidRDefault="008F5AA6" w:rsidP="008F5AA6">
      <w:pPr>
        <w:autoSpaceDE w:val="0"/>
        <w:autoSpaceDN w:val="0"/>
        <w:adjustRightInd w:val="0"/>
        <w:spacing w:after="0" w:line="360" w:lineRule="auto"/>
        <w:jc w:val="both"/>
        <w:rPr>
          <w:rFonts w:ascii="Times New Roman" w:eastAsia="Cambria" w:hAnsi="Times New Roman"/>
          <w:b/>
          <w:sz w:val="24"/>
          <w:szCs w:val="24"/>
        </w:rPr>
      </w:pPr>
    </w:p>
    <w:p w:rsidR="008F5AA6" w:rsidRPr="008F5AA6" w:rsidRDefault="008F5AA6" w:rsidP="008F5AA6">
      <w:pPr>
        <w:autoSpaceDE w:val="0"/>
        <w:autoSpaceDN w:val="0"/>
        <w:adjustRightInd w:val="0"/>
        <w:spacing w:after="0" w:line="360" w:lineRule="auto"/>
        <w:ind w:firstLine="360"/>
        <w:jc w:val="both"/>
        <w:rPr>
          <w:rFonts w:ascii="Times New Roman" w:eastAsia="Cambria" w:hAnsi="Times New Roman"/>
          <w:sz w:val="24"/>
          <w:szCs w:val="24"/>
        </w:rPr>
      </w:pPr>
      <w:r w:rsidRPr="008F5AA6">
        <w:rPr>
          <w:rFonts w:ascii="Times New Roman" w:eastAsia="Cambria" w:hAnsi="Times New Roman"/>
          <w:sz w:val="24"/>
          <w:szCs w:val="24"/>
        </w:rPr>
        <w:t xml:space="preserve">Patrz uwagi powyżej dot. podmiotowych warunków udzielenia pozwolenia i AEO. </w:t>
      </w:r>
    </w:p>
    <w:p w:rsidR="008F5AA6" w:rsidRPr="008F5AA6" w:rsidRDefault="008F5AA6" w:rsidP="008F5AA6">
      <w:pPr>
        <w:autoSpaceDE w:val="0"/>
        <w:autoSpaceDN w:val="0"/>
        <w:adjustRightInd w:val="0"/>
        <w:spacing w:after="0" w:line="360" w:lineRule="auto"/>
        <w:jc w:val="both"/>
        <w:rPr>
          <w:rFonts w:ascii="Times New Roman" w:eastAsia="Cambria" w:hAnsi="Times New Roman"/>
          <w:b/>
          <w:sz w:val="24"/>
          <w:szCs w:val="24"/>
        </w:rPr>
      </w:pPr>
    </w:p>
    <w:p w:rsidR="008F5AA6" w:rsidRPr="008F5AA6" w:rsidRDefault="008F5AA6" w:rsidP="008F5AA6">
      <w:pPr>
        <w:numPr>
          <w:ilvl w:val="0"/>
          <w:numId w:val="34"/>
        </w:numPr>
        <w:autoSpaceDE w:val="0"/>
        <w:autoSpaceDN w:val="0"/>
        <w:adjustRightInd w:val="0"/>
        <w:spacing w:after="0" w:line="360" w:lineRule="auto"/>
        <w:jc w:val="both"/>
        <w:rPr>
          <w:rFonts w:ascii="Times New Roman" w:eastAsia="Cambria" w:hAnsi="Times New Roman"/>
          <w:b/>
          <w:color w:val="FF0000"/>
          <w:sz w:val="28"/>
          <w:szCs w:val="28"/>
        </w:rPr>
      </w:pPr>
      <w:r w:rsidRPr="008F5AA6">
        <w:rPr>
          <w:rFonts w:ascii="Times New Roman" w:eastAsia="Cambria" w:hAnsi="Times New Roman"/>
          <w:b/>
          <w:color w:val="FF0000"/>
          <w:sz w:val="28"/>
          <w:szCs w:val="28"/>
        </w:rPr>
        <w:t xml:space="preserve">INSTRUKCJA WYPEŁNIANIA ZGŁOSZEŃ CELNYCH </w:t>
      </w:r>
    </w:p>
    <w:p w:rsidR="008F5AA6" w:rsidRPr="008F5AA6" w:rsidRDefault="008F5AA6" w:rsidP="008F5AA6">
      <w:pPr>
        <w:autoSpaceDE w:val="0"/>
        <w:autoSpaceDN w:val="0"/>
        <w:adjustRightInd w:val="0"/>
        <w:spacing w:after="0" w:line="360" w:lineRule="auto"/>
        <w:ind w:left="360"/>
        <w:rPr>
          <w:rFonts w:ascii="Times New Roman" w:eastAsia="Cambria" w:hAnsi="Times New Roman"/>
          <w:sz w:val="24"/>
          <w:szCs w:val="24"/>
        </w:rPr>
      </w:pPr>
    </w:p>
    <w:p w:rsidR="008F5AA6" w:rsidRPr="00915843" w:rsidRDefault="008F5AA6" w:rsidP="00915843">
      <w:pPr>
        <w:autoSpaceDE w:val="0"/>
        <w:autoSpaceDN w:val="0"/>
        <w:adjustRightInd w:val="0"/>
        <w:spacing w:after="0" w:line="360" w:lineRule="auto"/>
        <w:ind w:left="360"/>
        <w:jc w:val="both"/>
        <w:rPr>
          <w:rFonts w:ascii="Times New Roman" w:eastAsia="Cambria" w:hAnsi="Times New Roman"/>
          <w:sz w:val="24"/>
          <w:szCs w:val="24"/>
        </w:rPr>
      </w:pPr>
      <w:r w:rsidRPr="00915843">
        <w:rPr>
          <w:rFonts w:ascii="Times New Roman" w:eastAsia="Cambria" w:hAnsi="Times New Roman"/>
          <w:sz w:val="24"/>
          <w:szCs w:val="24"/>
        </w:rPr>
        <w:t xml:space="preserve">W </w:t>
      </w:r>
      <w:r w:rsidRPr="00915843">
        <w:rPr>
          <w:rFonts w:ascii="Times New Roman" w:eastAsia="Cambria" w:hAnsi="Times New Roman"/>
          <w:i/>
          <w:sz w:val="24"/>
          <w:szCs w:val="24"/>
        </w:rPr>
        <w:t>Instrukcji wypełniania zgłoszeń celnych</w:t>
      </w:r>
      <w:r w:rsidRPr="00915843">
        <w:rPr>
          <w:rFonts w:ascii="Times New Roman" w:eastAsia="Cambria" w:hAnsi="Times New Roman"/>
          <w:sz w:val="24"/>
          <w:szCs w:val="24"/>
        </w:rPr>
        <w:t xml:space="preserve"> znajdują się szczegółowe informacje na temat zasad wypełniania pól zgłoszenia celnego odnoszących się do wartości celnej </w:t>
      </w:r>
      <w:r w:rsidRPr="00915843">
        <w:rPr>
          <w:rFonts w:ascii="Times New Roman" w:eastAsia="Cambria" w:hAnsi="Times New Roman"/>
          <w:sz w:val="24"/>
          <w:szCs w:val="24"/>
        </w:rPr>
        <w:br/>
        <w:t xml:space="preserve">w przypadku, gdy zgłaszający uzyskał przedmiotowe pozwolenie. </w:t>
      </w:r>
      <w:r w:rsidRPr="00915843">
        <w:rPr>
          <w:rFonts w:ascii="Times New Roman" w:eastAsia="Cambria" w:hAnsi="Times New Roman"/>
          <w:i/>
          <w:sz w:val="24"/>
          <w:szCs w:val="24"/>
        </w:rPr>
        <w:t>Instrukcja</w:t>
      </w:r>
      <w:r w:rsidRPr="00915843">
        <w:rPr>
          <w:rFonts w:ascii="Times New Roman" w:eastAsia="Cambria" w:hAnsi="Times New Roman"/>
          <w:sz w:val="24"/>
          <w:szCs w:val="24"/>
        </w:rPr>
        <w:t xml:space="preserve"> ta jest opublikowana na stronie internetowej</w:t>
      </w:r>
      <w:r w:rsidR="00EF1FC1" w:rsidRPr="00915843">
        <w:rPr>
          <w:rFonts w:ascii="Times New Roman" w:eastAsia="Cambria" w:hAnsi="Times New Roman"/>
          <w:sz w:val="24"/>
          <w:szCs w:val="24"/>
        </w:rPr>
        <w:t xml:space="preserve"> Ministerstwa Finansów, w zakładce </w:t>
      </w:r>
      <w:r w:rsidR="00EF1FC1" w:rsidRPr="00915843">
        <w:rPr>
          <w:rFonts w:ascii="Times New Roman" w:eastAsia="Cambria" w:hAnsi="Times New Roman"/>
          <w:i/>
          <w:sz w:val="24"/>
          <w:szCs w:val="24"/>
        </w:rPr>
        <w:t>Cło</w:t>
      </w:r>
      <w:r w:rsidRPr="00915843">
        <w:rPr>
          <w:rFonts w:ascii="Times New Roman" w:eastAsia="Cambria" w:hAnsi="Times New Roman"/>
          <w:sz w:val="24"/>
          <w:szCs w:val="24"/>
        </w:rPr>
        <w:t>:</w:t>
      </w:r>
    </w:p>
    <w:p w:rsidR="008F5AA6" w:rsidRPr="00915843" w:rsidRDefault="008F5AA6" w:rsidP="00915843">
      <w:pPr>
        <w:autoSpaceDE w:val="0"/>
        <w:autoSpaceDN w:val="0"/>
        <w:adjustRightInd w:val="0"/>
        <w:spacing w:after="0" w:line="360" w:lineRule="auto"/>
        <w:ind w:left="360"/>
        <w:jc w:val="both"/>
        <w:rPr>
          <w:rFonts w:ascii="Times New Roman" w:eastAsia="Cambria" w:hAnsi="Times New Roman"/>
          <w:sz w:val="24"/>
          <w:szCs w:val="24"/>
        </w:rPr>
      </w:pPr>
    </w:p>
    <w:p w:rsidR="008F5AA6" w:rsidRDefault="008F5AA6" w:rsidP="00915843">
      <w:pPr>
        <w:autoSpaceDE w:val="0"/>
        <w:autoSpaceDN w:val="0"/>
        <w:adjustRightInd w:val="0"/>
        <w:spacing w:after="0" w:line="360" w:lineRule="auto"/>
        <w:ind w:left="360"/>
        <w:jc w:val="both"/>
        <w:rPr>
          <w:rFonts w:ascii="Times New Roman" w:eastAsia="Cambria" w:hAnsi="Times New Roman"/>
          <w:color w:val="0000FF"/>
          <w:sz w:val="24"/>
          <w:szCs w:val="24"/>
          <w:u w:val="single"/>
        </w:rPr>
      </w:pPr>
      <w:r w:rsidRPr="00915843">
        <w:rPr>
          <w:rFonts w:ascii="Times New Roman" w:eastAsia="Cambria" w:hAnsi="Times New Roman"/>
          <w:sz w:val="24"/>
          <w:szCs w:val="24"/>
        </w:rPr>
        <w:t xml:space="preserve"> </w:t>
      </w:r>
      <w:hyperlink r:id="rId13" w:history="1">
        <w:r w:rsidRPr="00915843">
          <w:rPr>
            <w:rFonts w:ascii="Times New Roman" w:eastAsia="Cambria" w:hAnsi="Times New Roman"/>
            <w:color w:val="0000FF"/>
            <w:sz w:val="24"/>
            <w:szCs w:val="24"/>
            <w:u w:val="single"/>
          </w:rPr>
          <w:t>http://www.finanse.mf.gov.pl/clo/zgloszenia-celne-i-intrastat/zgloszenia-celne/komunikaty</w:t>
        </w:r>
      </w:hyperlink>
    </w:p>
    <w:p w:rsidR="00A445ED" w:rsidRPr="00915843" w:rsidRDefault="00A445ED" w:rsidP="00915843">
      <w:pPr>
        <w:autoSpaceDE w:val="0"/>
        <w:autoSpaceDN w:val="0"/>
        <w:adjustRightInd w:val="0"/>
        <w:spacing w:after="0" w:line="360" w:lineRule="auto"/>
        <w:ind w:left="360"/>
        <w:jc w:val="both"/>
        <w:rPr>
          <w:rFonts w:ascii="Times New Roman" w:eastAsia="Cambria" w:hAnsi="Times New Roman"/>
          <w:sz w:val="24"/>
          <w:szCs w:val="24"/>
        </w:rPr>
      </w:pPr>
      <w:bookmarkStart w:id="0" w:name="_GoBack"/>
      <w:bookmarkEnd w:id="0"/>
    </w:p>
    <w:p w:rsidR="008F5AA6" w:rsidRPr="008F5AA6" w:rsidRDefault="008F5AA6" w:rsidP="008F5AA6">
      <w:pPr>
        <w:numPr>
          <w:ilvl w:val="0"/>
          <w:numId w:val="40"/>
        </w:numPr>
        <w:autoSpaceDE w:val="0"/>
        <w:autoSpaceDN w:val="0"/>
        <w:adjustRightInd w:val="0"/>
        <w:spacing w:after="0" w:line="360" w:lineRule="auto"/>
        <w:jc w:val="both"/>
        <w:rPr>
          <w:rFonts w:ascii="Times New Roman" w:eastAsia="Cambria" w:hAnsi="Times New Roman"/>
          <w:b/>
          <w:color w:val="FF0000"/>
          <w:sz w:val="28"/>
          <w:szCs w:val="28"/>
        </w:rPr>
      </w:pPr>
      <w:r w:rsidRPr="008F5AA6">
        <w:rPr>
          <w:rFonts w:ascii="Times New Roman" w:eastAsia="Cambria" w:hAnsi="Times New Roman"/>
          <w:b/>
          <w:color w:val="FF0000"/>
          <w:sz w:val="28"/>
          <w:szCs w:val="28"/>
        </w:rPr>
        <w:lastRenderedPageBreak/>
        <w:t xml:space="preserve">PRZEDSTAWIENIE PROPOZYCJI OBLICZENIA ELEMENTÓW FORMUŁUJĄCYCH WARTOŚĆ CELNĄ WEDŁUG SZCZEGÓLNYCH KRYTERIÓW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41"/>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We wniosku o udzielenie pozwolenia na uproszczone określanie elementów wartości celnej </w:t>
      </w:r>
      <w:r w:rsidRPr="008F5AA6">
        <w:rPr>
          <w:rFonts w:ascii="Times New Roman" w:eastAsia="Cambria" w:hAnsi="Times New Roman"/>
          <w:b/>
          <w:sz w:val="24"/>
          <w:szCs w:val="24"/>
        </w:rPr>
        <w:t xml:space="preserve">wnioskodawca proponuje organom </w:t>
      </w:r>
      <w:r w:rsidR="00C51EF3">
        <w:rPr>
          <w:rFonts w:ascii="Times New Roman" w:eastAsia="Cambria" w:hAnsi="Times New Roman"/>
          <w:b/>
          <w:sz w:val="24"/>
          <w:szCs w:val="24"/>
        </w:rPr>
        <w:t xml:space="preserve">celno-skarbowym </w:t>
      </w:r>
      <w:r w:rsidRPr="008F5AA6">
        <w:rPr>
          <w:rFonts w:ascii="Times New Roman" w:eastAsia="Cambria" w:hAnsi="Times New Roman"/>
          <w:b/>
          <w:sz w:val="24"/>
          <w:szCs w:val="24"/>
        </w:rPr>
        <w:t>sposób określenia kwoty stanowiącej dany element wraz z uzasadnieniem takiego wyboru.</w:t>
      </w:r>
      <w:r w:rsidRPr="008F5AA6">
        <w:rPr>
          <w:rFonts w:ascii="Times New Roman" w:eastAsia="Cambria" w:hAnsi="Times New Roman"/>
          <w:sz w:val="24"/>
          <w:szCs w:val="24"/>
        </w:rPr>
        <w:t xml:space="preserv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41"/>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Kwota stanowiąca określony element ceny faktycznie zapłaconej lub należnej za przywiezione towary czy też element dodawany do ceny faktycznie zapłaconej lub należnej lub też niewłączany do wartości celnej może być obliczona na podstawie (przykłady):</w:t>
      </w:r>
    </w:p>
    <w:p w:rsidR="008F5AA6" w:rsidRPr="008F5AA6" w:rsidRDefault="008F5AA6" w:rsidP="008F5AA6">
      <w:pPr>
        <w:autoSpaceDE w:val="0"/>
        <w:autoSpaceDN w:val="0"/>
        <w:adjustRightInd w:val="0"/>
        <w:spacing w:after="0" w:line="360" w:lineRule="auto"/>
        <w:ind w:left="360"/>
        <w:jc w:val="both"/>
        <w:rPr>
          <w:rFonts w:ascii="Times New Roman" w:eastAsia="Cambria" w:hAnsi="Times New Roman"/>
          <w:sz w:val="24"/>
          <w:szCs w:val="24"/>
        </w:rPr>
      </w:pPr>
    </w:p>
    <w:p w:rsidR="008F5AA6" w:rsidRPr="008F5AA6" w:rsidRDefault="008F5AA6" w:rsidP="008F5AA6">
      <w:pPr>
        <w:numPr>
          <w:ilvl w:val="0"/>
          <w:numId w:val="28"/>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t>informacji</w:t>
      </w:r>
      <w:proofErr w:type="gramEnd"/>
      <w:r w:rsidRPr="008F5AA6">
        <w:rPr>
          <w:rFonts w:ascii="Times New Roman" w:eastAsia="Cambria" w:hAnsi="Times New Roman"/>
          <w:sz w:val="24"/>
          <w:szCs w:val="24"/>
        </w:rPr>
        <w:t xml:space="preserve"> zawartych w umowach sprzedaży i innych dokumentach odnoszących się do transakcji sprzedaży, umowach o świadczenie usług transportowych, polisach ubezpieczeniowych, umowach licencyjnych;</w:t>
      </w:r>
    </w:p>
    <w:p w:rsidR="008F5AA6" w:rsidRPr="008F5AA6" w:rsidRDefault="008F5AA6" w:rsidP="008F5AA6">
      <w:pPr>
        <w:numPr>
          <w:ilvl w:val="0"/>
          <w:numId w:val="28"/>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t>danych</w:t>
      </w:r>
      <w:proofErr w:type="gramEnd"/>
      <w:r w:rsidRPr="008F5AA6">
        <w:rPr>
          <w:rFonts w:ascii="Times New Roman" w:eastAsia="Cambria" w:hAnsi="Times New Roman"/>
          <w:sz w:val="24"/>
          <w:szCs w:val="24"/>
        </w:rPr>
        <w:t xml:space="preserve"> wynikających ze zgłoszeń celnych obejmujących pewien miarodajny okres sprzed złożenia wniosku na podstawie przepisów art. 73 UKC; </w:t>
      </w:r>
    </w:p>
    <w:p w:rsidR="008F5AA6" w:rsidRPr="008F5AA6" w:rsidRDefault="008F5AA6" w:rsidP="008F5AA6">
      <w:pPr>
        <w:numPr>
          <w:ilvl w:val="0"/>
          <w:numId w:val="28"/>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t>informacji</w:t>
      </w:r>
      <w:proofErr w:type="gramEnd"/>
      <w:r w:rsidRPr="008F5AA6">
        <w:rPr>
          <w:rFonts w:ascii="Times New Roman" w:eastAsia="Cambria" w:hAnsi="Times New Roman"/>
          <w:sz w:val="24"/>
          <w:szCs w:val="24"/>
        </w:rPr>
        <w:t xml:space="preserve"> zawartych w opracowaniach bądź studiach odnoszących się do danego sektora gospodarczego (np. sektora usług logistycznych);</w:t>
      </w:r>
    </w:p>
    <w:p w:rsidR="008F5AA6" w:rsidRPr="008F5AA6" w:rsidRDefault="008F5AA6" w:rsidP="008F5AA6">
      <w:pPr>
        <w:numPr>
          <w:ilvl w:val="0"/>
          <w:numId w:val="28"/>
        </w:numPr>
        <w:autoSpaceDE w:val="0"/>
        <w:autoSpaceDN w:val="0"/>
        <w:adjustRightInd w:val="0"/>
        <w:spacing w:after="0" w:line="360" w:lineRule="auto"/>
        <w:jc w:val="both"/>
        <w:rPr>
          <w:rFonts w:ascii="Times New Roman" w:eastAsia="Cambria" w:hAnsi="Times New Roman"/>
          <w:sz w:val="24"/>
          <w:szCs w:val="24"/>
        </w:rPr>
      </w:pPr>
      <w:proofErr w:type="gramStart"/>
      <w:r w:rsidRPr="008F5AA6">
        <w:rPr>
          <w:rFonts w:ascii="Times New Roman" w:eastAsia="Cambria" w:hAnsi="Times New Roman"/>
          <w:sz w:val="24"/>
          <w:szCs w:val="24"/>
        </w:rPr>
        <w:t>taryf</w:t>
      </w:r>
      <w:proofErr w:type="gramEnd"/>
      <w:r w:rsidRPr="008F5AA6">
        <w:rPr>
          <w:rFonts w:ascii="Times New Roman" w:eastAsia="Cambria" w:hAnsi="Times New Roman"/>
          <w:sz w:val="24"/>
          <w:szCs w:val="24"/>
        </w:rPr>
        <w:t xml:space="preserve"> stawek frachtowych zwyczajowo stosowanych w odniesieniu do określonych środków transportu.  </w:t>
      </w:r>
    </w:p>
    <w:p w:rsidR="008F5AA6" w:rsidRPr="008F5AA6" w:rsidRDefault="008F5AA6" w:rsidP="008F5AA6">
      <w:pPr>
        <w:autoSpaceDE w:val="0"/>
        <w:autoSpaceDN w:val="0"/>
        <w:adjustRightInd w:val="0"/>
        <w:spacing w:after="0" w:line="360" w:lineRule="auto"/>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W </w:t>
      </w:r>
      <w:r w:rsidRPr="008F5AA6">
        <w:rPr>
          <w:rFonts w:ascii="Times New Roman" w:eastAsia="Cambria" w:hAnsi="Times New Roman"/>
          <w:i/>
          <w:sz w:val="24"/>
          <w:szCs w:val="24"/>
        </w:rPr>
        <w:t xml:space="preserve">Komentarzu nr 6 o dokumentach oraz informacjach, jakie władze celne mogą wymagać </w:t>
      </w:r>
      <w:r w:rsidRPr="008F5AA6">
        <w:rPr>
          <w:rFonts w:ascii="Times New Roman" w:eastAsia="Cambria" w:hAnsi="Times New Roman"/>
          <w:i/>
          <w:sz w:val="24"/>
          <w:szCs w:val="24"/>
        </w:rPr>
        <w:br/>
        <w:t>w charakterze dowodów w celu ustalenia wartości celnej</w:t>
      </w:r>
      <w:r w:rsidRPr="008F5AA6">
        <w:rPr>
          <w:rFonts w:ascii="Times New Roman" w:eastAsia="Cambria" w:hAnsi="Times New Roman"/>
          <w:sz w:val="24"/>
          <w:szCs w:val="24"/>
        </w:rPr>
        <w:t xml:space="preserve">, przyjętym przez Komitet Kodeksu Celnego – Sekcję Wartości przedstawiono </w:t>
      </w:r>
      <w:r w:rsidRPr="008F5AA6">
        <w:rPr>
          <w:rFonts w:ascii="Times New Roman" w:eastAsia="Cambria" w:hAnsi="Times New Roman"/>
          <w:b/>
          <w:sz w:val="24"/>
          <w:szCs w:val="24"/>
        </w:rPr>
        <w:t>otwarty katalog</w:t>
      </w:r>
      <w:r w:rsidRPr="008F5AA6">
        <w:rPr>
          <w:rFonts w:ascii="Times New Roman" w:eastAsia="Cambria" w:hAnsi="Times New Roman"/>
          <w:sz w:val="24"/>
          <w:szCs w:val="24"/>
        </w:rPr>
        <w:t xml:space="preserve"> dokumentów i informacji, które najczęściej są wykorzystywane w związku z ustalaniem wartości celnej. </w:t>
      </w:r>
      <w:r w:rsidRPr="008F5AA6">
        <w:rPr>
          <w:rFonts w:ascii="Times New Roman" w:eastAsia="Cambria" w:hAnsi="Times New Roman"/>
          <w:i/>
          <w:sz w:val="24"/>
          <w:szCs w:val="24"/>
        </w:rPr>
        <w:t>Komentarz</w:t>
      </w:r>
      <w:r w:rsidRPr="008F5AA6">
        <w:rPr>
          <w:rFonts w:ascii="Times New Roman" w:eastAsia="Cambria" w:hAnsi="Times New Roman"/>
          <w:sz w:val="24"/>
          <w:szCs w:val="24"/>
        </w:rPr>
        <w:t xml:space="preserve"> ten stanowi część </w:t>
      </w:r>
      <w:r w:rsidRPr="008F5AA6">
        <w:rPr>
          <w:rFonts w:ascii="Times New Roman" w:eastAsia="Cambria" w:hAnsi="Times New Roman"/>
          <w:i/>
          <w:sz w:val="24"/>
          <w:szCs w:val="24"/>
        </w:rPr>
        <w:t>Kompendium</w:t>
      </w:r>
      <w:r w:rsidRPr="008F5AA6">
        <w:rPr>
          <w:rFonts w:ascii="Times New Roman" w:eastAsia="Cambria" w:hAnsi="Times New Roman"/>
          <w:sz w:val="24"/>
          <w:szCs w:val="24"/>
        </w:rPr>
        <w:t xml:space="preserve"> tekstów opracowanych przez KKC – Sekcję Wartości. </w:t>
      </w:r>
      <w:r w:rsidRPr="008F5AA6">
        <w:rPr>
          <w:rFonts w:ascii="Times New Roman" w:eastAsia="Cambria" w:hAnsi="Times New Roman"/>
          <w:i/>
          <w:sz w:val="24"/>
          <w:szCs w:val="24"/>
        </w:rPr>
        <w:t>Kompendium</w:t>
      </w:r>
      <w:r w:rsidRPr="008F5AA6">
        <w:rPr>
          <w:rFonts w:ascii="Times New Roman" w:eastAsia="Cambria" w:hAnsi="Times New Roman"/>
          <w:sz w:val="24"/>
          <w:szCs w:val="24"/>
        </w:rPr>
        <w:t xml:space="preserve"> to jest opublikowane na stronie internetowej </w:t>
      </w:r>
      <w:r>
        <w:rPr>
          <w:rFonts w:ascii="Times New Roman" w:eastAsia="Cambria" w:hAnsi="Times New Roman"/>
          <w:sz w:val="24"/>
          <w:szCs w:val="24"/>
        </w:rPr>
        <w:t>Ministerstwa Finansów</w:t>
      </w:r>
      <w:r w:rsidRPr="008F5AA6">
        <w:rPr>
          <w:rFonts w:ascii="Times New Roman" w:eastAsia="Cambria" w:hAnsi="Times New Roman"/>
          <w:sz w:val="24"/>
          <w:szCs w:val="24"/>
          <w:vertAlign w:val="superscript"/>
        </w:rPr>
        <w:footnoteReference w:id="9"/>
      </w:r>
      <w:r w:rsidRPr="008F5AA6">
        <w:rPr>
          <w:rFonts w:ascii="Times New Roman" w:eastAsia="Cambria" w:hAnsi="Times New Roman"/>
          <w:sz w:val="24"/>
          <w:szCs w:val="24"/>
        </w:rPr>
        <w:t xml:space="preserve">:  </w:t>
      </w:r>
    </w:p>
    <w:p w:rsidR="008F5AA6" w:rsidRPr="008F5AA6" w:rsidRDefault="00956BB3" w:rsidP="008F5AA6">
      <w:pPr>
        <w:autoSpaceDE w:val="0"/>
        <w:autoSpaceDN w:val="0"/>
        <w:adjustRightInd w:val="0"/>
        <w:spacing w:after="0" w:line="360" w:lineRule="auto"/>
        <w:jc w:val="both"/>
        <w:rPr>
          <w:rFonts w:ascii="Times New Roman" w:eastAsia="Cambria" w:hAnsi="Times New Roman"/>
          <w:sz w:val="24"/>
          <w:szCs w:val="24"/>
        </w:rPr>
      </w:pPr>
      <w:hyperlink r:id="rId14" w:history="1">
        <w:r w:rsidR="008F5AA6" w:rsidRPr="008F5AA6">
          <w:rPr>
            <w:rFonts w:ascii="Times New Roman" w:eastAsia="Cambria" w:hAnsi="Times New Roman"/>
            <w:color w:val="0000FF"/>
            <w:sz w:val="24"/>
            <w:szCs w:val="24"/>
            <w:u w:val="single"/>
          </w:rPr>
          <w:t>http://www.finanse.mf.gov.pl/clo/informacje-dla-przedsiebiorcow/wartosc-celna</w:t>
        </w:r>
      </w:hyperlink>
      <w:r w:rsidR="008F5AA6" w:rsidRPr="008F5AA6">
        <w:rPr>
          <w:rFonts w:ascii="Times New Roman" w:eastAsia="Cambria" w:hAnsi="Times New Roman"/>
          <w:sz w:val="24"/>
          <w:szCs w:val="24"/>
        </w:rPr>
        <w:t xml:space="preserv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numPr>
          <w:ilvl w:val="0"/>
          <w:numId w:val="41"/>
        </w:num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Przypadki, w których towary są nabywane od różnych sprzedających.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464619">
      <w:pPr>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sz w:val="24"/>
          <w:szCs w:val="24"/>
        </w:rPr>
        <w:t xml:space="preserve">W </w:t>
      </w:r>
      <w:proofErr w:type="gramStart"/>
      <w:r w:rsidRPr="008F5AA6">
        <w:rPr>
          <w:rFonts w:ascii="Times New Roman" w:eastAsia="Cambria" w:hAnsi="Times New Roman"/>
          <w:sz w:val="24"/>
          <w:szCs w:val="24"/>
        </w:rPr>
        <w:t>sytuacji</w:t>
      </w:r>
      <w:r w:rsidR="008A68AB">
        <w:rPr>
          <w:rFonts w:ascii="Times New Roman" w:eastAsia="Cambria" w:hAnsi="Times New Roman"/>
          <w:sz w:val="24"/>
          <w:szCs w:val="24"/>
        </w:rPr>
        <w:t xml:space="preserve"> </w:t>
      </w:r>
      <w:r w:rsidRPr="008F5AA6">
        <w:rPr>
          <w:rFonts w:ascii="Times New Roman" w:eastAsia="Cambria" w:hAnsi="Times New Roman"/>
          <w:sz w:val="24"/>
          <w:szCs w:val="24"/>
        </w:rPr>
        <w:t>gdy</w:t>
      </w:r>
      <w:proofErr w:type="gramEnd"/>
      <w:r w:rsidRPr="008F5AA6">
        <w:rPr>
          <w:rFonts w:ascii="Times New Roman" w:eastAsia="Cambria" w:hAnsi="Times New Roman"/>
          <w:sz w:val="24"/>
          <w:szCs w:val="24"/>
        </w:rPr>
        <w:t xml:space="preserve"> importer będzie sprowa</w:t>
      </w:r>
      <w:r w:rsidR="00915843">
        <w:rPr>
          <w:rFonts w:ascii="Times New Roman" w:eastAsia="Cambria" w:hAnsi="Times New Roman"/>
          <w:sz w:val="24"/>
          <w:szCs w:val="24"/>
        </w:rPr>
        <w:t xml:space="preserve">dzał towary od kilku dostawców </w:t>
      </w:r>
      <w:r w:rsidRPr="008F5AA6">
        <w:rPr>
          <w:rFonts w:ascii="Times New Roman" w:eastAsia="Cambria" w:hAnsi="Times New Roman"/>
          <w:sz w:val="24"/>
          <w:szCs w:val="24"/>
        </w:rPr>
        <w:t xml:space="preserve">w ramach różnych umów sprzedaży i jednocześnie nie będzie znana, w czasie zgłaszania tych towarów do procedury dopuszczenia do obrotu, kwota stanowiąca niektóre elementy formułujące wartość celną tych towarów, </w:t>
      </w:r>
      <w:r w:rsidRPr="008F5AA6">
        <w:rPr>
          <w:rFonts w:ascii="Times New Roman" w:eastAsia="Cambria" w:hAnsi="Times New Roman"/>
          <w:b/>
          <w:sz w:val="24"/>
          <w:szCs w:val="24"/>
        </w:rPr>
        <w:t>nie jest konieczne</w:t>
      </w:r>
      <w:r w:rsidRPr="008F5AA6">
        <w:rPr>
          <w:rFonts w:ascii="Times New Roman" w:eastAsia="Cambria" w:hAnsi="Times New Roman"/>
          <w:sz w:val="24"/>
          <w:szCs w:val="24"/>
        </w:rPr>
        <w:t xml:space="preserve"> </w:t>
      </w:r>
      <w:r w:rsidRPr="008F5AA6">
        <w:rPr>
          <w:rFonts w:ascii="Times New Roman" w:eastAsia="Cambria" w:hAnsi="Times New Roman"/>
          <w:b/>
          <w:sz w:val="24"/>
          <w:szCs w:val="24"/>
        </w:rPr>
        <w:t xml:space="preserve">występowanie do organów </w:t>
      </w:r>
      <w:r w:rsidR="0024695E">
        <w:rPr>
          <w:rFonts w:ascii="Times New Roman" w:eastAsia="Cambria" w:hAnsi="Times New Roman"/>
          <w:b/>
          <w:sz w:val="24"/>
          <w:szCs w:val="24"/>
        </w:rPr>
        <w:t xml:space="preserve">celno-skarbowych </w:t>
      </w:r>
      <w:r w:rsidR="00464619">
        <w:rPr>
          <w:rFonts w:ascii="Times New Roman" w:eastAsia="Cambria" w:hAnsi="Times New Roman"/>
          <w:b/>
          <w:sz w:val="24"/>
          <w:szCs w:val="24"/>
        </w:rPr>
        <w:br/>
      </w:r>
      <w:r w:rsidRPr="008F5AA6">
        <w:rPr>
          <w:rFonts w:ascii="Times New Roman" w:eastAsia="Cambria" w:hAnsi="Times New Roman"/>
          <w:b/>
          <w:sz w:val="24"/>
          <w:szCs w:val="24"/>
        </w:rPr>
        <w:t xml:space="preserve">z odrębnymi wnioskami </w:t>
      </w:r>
      <w:r w:rsidRPr="008F5AA6">
        <w:rPr>
          <w:rFonts w:ascii="Times New Roman" w:eastAsia="Cambria" w:hAnsi="Times New Roman"/>
          <w:sz w:val="24"/>
          <w:szCs w:val="24"/>
        </w:rPr>
        <w:t xml:space="preserve">o udzielenie pozwolenia na uproszczone określanie elementów wartości celnej towarów w odniesieniu do przywozów realizowanych w ramach poszczególnych umów sprzedaży. W takim przypadku należy wymienić w składanym wniosku </w:t>
      </w:r>
      <w:r w:rsidRPr="008F5AA6">
        <w:rPr>
          <w:rFonts w:ascii="Times New Roman" w:eastAsia="Cambria" w:hAnsi="Times New Roman"/>
          <w:b/>
          <w:sz w:val="24"/>
          <w:szCs w:val="24"/>
        </w:rPr>
        <w:t xml:space="preserve">wszystkie umowy sprzedaży, w </w:t>
      </w:r>
      <w:proofErr w:type="gramStart"/>
      <w:r w:rsidRPr="008F5AA6">
        <w:rPr>
          <w:rFonts w:ascii="Times New Roman" w:eastAsia="Cambria" w:hAnsi="Times New Roman"/>
          <w:b/>
          <w:sz w:val="24"/>
          <w:szCs w:val="24"/>
        </w:rPr>
        <w:t>ramach których</w:t>
      </w:r>
      <w:proofErr w:type="gramEnd"/>
      <w:r w:rsidRPr="008F5AA6">
        <w:rPr>
          <w:rFonts w:ascii="Times New Roman" w:eastAsia="Cambria" w:hAnsi="Times New Roman"/>
          <w:b/>
          <w:sz w:val="24"/>
          <w:szCs w:val="24"/>
        </w:rPr>
        <w:t xml:space="preserve"> będą sprowadzane towary, </w:t>
      </w:r>
      <w:r w:rsidR="00464619">
        <w:rPr>
          <w:rFonts w:ascii="Times New Roman" w:eastAsia="Cambria" w:hAnsi="Times New Roman"/>
          <w:b/>
          <w:sz w:val="24"/>
          <w:szCs w:val="24"/>
        </w:rPr>
        <w:br/>
      </w:r>
      <w:r w:rsidRPr="008F5AA6">
        <w:rPr>
          <w:rFonts w:ascii="Times New Roman" w:eastAsia="Cambria" w:hAnsi="Times New Roman"/>
          <w:b/>
          <w:sz w:val="24"/>
          <w:szCs w:val="24"/>
        </w:rPr>
        <w:t xml:space="preserve">a których wartość celna ma być określana z wykorzystaniem pozwolenia, o którym mowa w art. 73 UKC.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b/>
          <w:sz w:val="24"/>
          <w:szCs w:val="24"/>
        </w:rPr>
      </w:pPr>
      <w:r w:rsidRPr="008F5AA6">
        <w:rPr>
          <w:rFonts w:ascii="Times New Roman" w:eastAsia="Cambria" w:hAnsi="Times New Roman"/>
          <w:b/>
          <w:i/>
          <w:sz w:val="24"/>
          <w:szCs w:val="24"/>
          <w:u w:val="single"/>
        </w:rPr>
        <w:t>Przykład 1. (</w:t>
      </w:r>
      <w:proofErr w:type="gramStart"/>
      <w:r w:rsidRPr="008F5AA6">
        <w:rPr>
          <w:rFonts w:ascii="Times New Roman" w:eastAsia="Cambria" w:hAnsi="Times New Roman"/>
          <w:b/>
          <w:i/>
          <w:sz w:val="24"/>
          <w:szCs w:val="24"/>
          <w:u w:val="single"/>
        </w:rPr>
        <w:t>opłaty</w:t>
      </w:r>
      <w:proofErr w:type="gramEnd"/>
      <w:r w:rsidRPr="008F5AA6">
        <w:rPr>
          <w:rFonts w:ascii="Times New Roman" w:eastAsia="Cambria" w:hAnsi="Times New Roman"/>
          <w:b/>
          <w:i/>
          <w:sz w:val="24"/>
          <w:szCs w:val="24"/>
          <w:u w:val="single"/>
        </w:rPr>
        <w:t xml:space="preserve"> licencyjne)</w:t>
      </w:r>
      <w:r w:rsidRPr="008F5AA6">
        <w:rPr>
          <w:rFonts w:ascii="Times New Roman" w:eastAsia="Cambria" w:hAnsi="Times New Roman"/>
          <w:b/>
          <w:sz w:val="24"/>
          <w:szCs w:val="24"/>
        </w:rPr>
        <w:t xml:space="preserve">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666840"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Kupujący/importer i licencjodawca zawarli umowę licencyjną, której przedmiotem jest korzystanie z prawa do znaku towarowego w związku ze sprzedażą przywożonych towarów na obszarze celnym UE.  Natomiast opatrzone tym znakiem towary są produkowane przez kliku producentów, z którymi kupujący/importer zawarł odrębne umowy sprzedaży. Opłaty licencyjne odnoszą się do towarów, dla których ustalana jest wartość celna i stanowią warunek ich sprzedaży. Ponieważ zgodnie z umową licencyjną kwota opłat licencyjn</w:t>
      </w:r>
      <w:r>
        <w:rPr>
          <w:rFonts w:ascii="Times New Roman" w:eastAsia="Cambria" w:hAnsi="Times New Roman"/>
          <w:sz w:val="24"/>
          <w:szCs w:val="24"/>
        </w:rPr>
        <w:t xml:space="preserve">ych wynosi </w:t>
      </w:r>
      <w:r w:rsidRPr="008F5AA6">
        <w:rPr>
          <w:rFonts w:ascii="Times New Roman" w:eastAsia="Cambria" w:hAnsi="Times New Roman"/>
          <w:sz w:val="24"/>
          <w:szCs w:val="24"/>
        </w:rPr>
        <w:t xml:space="preserve">5% dochodu netto ze sprzedaży sprowadzonych towarów na obszarze celnych UE </w:t>
      </w:r>
      <w:r>
        <w:rPr>
          <w:rFonts w:ascii="Times New Roman" w:eastAsia="Cambria" w:hAnsi="Times New Roman"/>
          <w:sz w:val="24"/>
          <w:szCs w:val="24"/>
        </w:rPr>
        <w:br/>
      </w:r>
      <w:r w:rsidRPr="008F5AA6">
        <w:rPr>
          <w:rFonts w:ascii="Times New Roman" w:eastAsia="Cambria" w:hAnsi="Times New Roman"/>
          <w:sz w:val="24"/>
          <w:szCs w:val="24"/>
        </w:rPr>
        <w:t xml:space="preserve">w danym roku obrotowym, w czasie zgłaszania tych towarów do procedury dopuszczenia do obrotu na obszarze celnym UE nie jest znana dokładana kwota stanowiąca te opłaty. </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 </w:t>
      </w:r>
    </w:p>
    <w:p w:rsidR="008F5AA6" w:rsidRPr="008F5AA6" w:rsidRDefault="008F5AA6" w:rsidP="008F5AA6">
      <w:pPr>
        <w:autoSpaceDE w:val="0"/>
        <w:autoSpaceDN w:val="0"/>
        <w:adjustRightInd w:val="0"/>
        <w:spacing w:after="0" w:line="360" w:lineRule="auto"/>
        <w:jc w:val="both"/>
        <w:rPr>
          <w:rFonts w:ascii="Times New Roman" w:eastAsia="Cambria" w:hAnsi="Times New Roman"/>
          <w:b/>
          <w:i/>
          <w:sz w:val="24"/>
          <w:szCs w:val="24"/>
          <w:u w:val="single"/>
        </w:rPr>
      </w:pPr>
      <w:r w:rsidRPr="008F5AA6">
        <w:rPr>
          <w:rFonts w:ascii="Times New Roman" w:eastAsia="Cambria" w:hAnsi="Times New Roman"/>
          <w:b/>
          <w:i/>
          <w:sz w:val="24"/>
          <w:szCs w:val="24"/>
          <w:u w:val="single"/>
        </w:rPr>
        <w:lastRenderedPageBreak/>
        <w:t>Przykład 2.  (</w:t>
      </w:r>
      <w:proofErr w:type="gramStart"/>
      <w:r w:rsidRPr="008F5AA6">
        <w:rPr>
          <w:rFonts w:ascii="Times New Roman" w:eastAsia="Cambria" w:hAnsi="Times New Roman"/>
          <w:b/>
          <w:i/>
          <w:sz w:val="24"/>
          <w:szCs w:val="24"/>
          <w:u w:val="single"/>
        </w:rPr>
        <w:t>koszty</w:t>
      </w:r>
      <w:proofErr w:type="gramEnd"/>
      <w:r w:rsidRPr="008F5AA6">
        <w:rPr>
          <w:rFonts w:ascii="Times New Roman" w:eastAsia="Cambria" w:hAnsi="Times New Roman"/>
          <w:b/>
          <w:i/>
          <w:sz w:val="24"/>
          <w:szCs w:val="24"/>
          <w:u w:val="single"/>
        </w:rPr>
        <w:t xml:space="preserve"> ubezpieczenia towarów podczas ich transportu)</w:t>
      </w: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p>
    <w:p w:rsidR="008F5AA6" w:rsidRPr="008F5AA6" w:rsidRDefault="008F5AA6" w:rsidP="008F5AA6">
      <w:pPr>
        <w:autoSpaceDE w:val="0"/>
        <w:autoSpaceDN w:val="0"/>
        <w:adjustRightInd w:val="0"/>
        <w:spacing w:after="0" w:line="360" w:lineRule="auto"/>
        <w:jc w:val="both"/>
        <w:rPr>
          <w:rFonts w:ascii="Times New Roman" w:eastAsia="Cambria" w:hAnsi="Times New Roman"/>
          <w:sz w:val="24"/>
          <w:szCs w:val="24"/>
        </w:rPr>
      </w:pPr>
      <w:r w:rsidRPr="008F5AA6">
        <w:rPr>
          <w:rFonts w:ascii="Times New Roman" w:eastAsia="Cambria" w:hAnsi="Times New Roman"/>
          <w:sz w:val="24"/>
          <w:szCs w:val="24"/>
        </w:rPr>
        <w:t xml:space="preserve">Kupujący/importer jest stroną umowy ubezpieczenia mienia w transporcie, a uzyskana przez niego polisa ubezpieczeniowa ma charakter generalny, co oznacza, że ochroną ubezpieczeniową objęte są wszystkie towary (ładunki) przewożone w określonym czasie, niezależnie od tego, kto jest dostawcą tych towarów.  </w:t>
      </w:r>
    </w:p>
    <w:p w:rsidR="008F5AA6" w:rsidRPr="008F5AA6" w:rsidRDefault="008F5AA6" w:rsidP="008F5AA6">
      <w:pPr>
        <w:autoSpaceDE w:val="0"/>
        <w:autoSpaceDN w:val="0"/>
        <w:adjustRightInd w:val="0"/>
        <w:spacing w:after="0"/>
        <w:jc w:val="both"/>
        <w:rPr>
          <w:rFonts w:ascii="Times New Roman" w:eastAsia="Cambria" w:hAnsi="Times New Roman"/>
          <w:sz w:val="24"/>
          <w:szCs w:val="24"/>
        </w:rPr>
      </w:pPr>
    </w:p>
    <w:p w:rsidR="008F5AA6" w:rsidRPr="00504D4F" w:rsidRDefault="00504D4F" w:rsidP="00504D4F">
      <w:pPr>
        <w:autoSpaceDE w:val="0"/>
        <w:autoSpaceDN w:val="0"/>
        <w:adjustRightInd w:val="0"/>
        <w:spacing w:after="0" w:line="360" w:lineRule="auto"/>
        <w:jc w:val="both"/>
        <w:rPr>
          <w:rFonts w:ascii="Times New Roman" w:eastAsia="Cambria" w:hAnsi="Times New Roman"/>
          <w:sz w:val="24"/>
          <w:szCs w:val="24"/>
        </w:rPr>
      </w:pPr>
      <w:r>
        <w:rPr>
          <w:rFonts w:ascii="Times New Roman" w:eastAsia="Cambria" w:hAnsi="Times New Roman"/>
          <w:sz w:val="24"/>
          <w:szCs w:val="24"/>
        </w:rPr>
        <w:t>***************************************************************************</w:t>
      </w:r>
    </w:p>
    <w:sectPr w:rsidR="008F5AA6" w:rsidRPr="00504D4F" w:rsidSect="000D64CF">
      <w:footerReference w:type="default" r:id="rId15"/>
      <w:pgSz w:w="11907" w:h="16839"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BB3" w:rsidRDefault="00956BB3" w:rsidP="00662208">
      <w:pPr>
        <w:spacing w:after="0" w:line="240" w:lineRule="auto"/>
      </w:pPr>
      <w:r>
        <w:separator/>
      </w:r>
    </w:p>
  </w:endnote>
  <w:endnote w:type="continuationSeparator" w:id="0">
    <w:p w:rsidR="00956BB3" w:rsidRDefault="00956BB3" w:rsidP="00662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259043"/>
      <w:docPartObj>
        <w:docPartGallery w:val="Page Numbers (Bottom of Page)"/>
        <w:docPartUnique/>
      </w:docPartObj>
    </w:sdtPr>
    <w:sdtEndPr/>
    <w:sdtContent>
      <w:p w:rsidR="000D64CF" w:rsidRDefault="000D64CF">
        <w:pPr>
          <w:pStyle w:val="Stopka"/>
          <w:jc w:val="right"/>
        </w:pPr>
        <w:r>
          <w:fldChar w:fldCharType="begin"/>
        </w:r>
        <w:r>
          <w:instrText>PAGE   \* MERGEFORMAT</w:instrText>
        </w:r>
        <w:r>
          <w:fldChar w:fldCharType="separate"/>
        </w:r>
        <w:r w:rsidR="00A445ED">
          <w:rPr>
            <w:noProof/>
          </w:rPr>
          <w:t>14</w:t>
        </w:r>
        <w:r>
          <w:fldChar w:fldCharType="end"/>
        </w:r>
      </w:p>
    </w:sdtContent>
  </w:sdt>
  <w:p w:rsidR="00662208" w:rsidRDefault="006622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BB3" w:rsidRDefault="00956BB3" w:rsidP="00662208">
      <w:pPr>
        <w:spacing w:after="0" w:line="240" w:lineRule="auto"/>
      </w:pPr>
      <w:r>
        <w:separator/>
      </w:r>
    </w:p>
  </w:footnote>
  <w:footnote w:type="continuationSeparator" w:id="0">
    <w:p w:rsidR="00956BB3" w:rsidRDefault="00956BB3" w:rsidP="00662208">
      <w:pPr>
        <w:spacing w:after="0" w:line="240" w:lineRule="auto"/>
      </w:pPr>
      <w:r>
        <w:continuationSeparator/>
      </w:r>
    </w:p>
  </w:footnote>
  <w:footnote w:id="1">
    <w:p w:rsidR="008F5AA6" w:rsidRDefault="008F5AA6" w:rsidP="008F5AA6">
      <w:pPr>
        <w:pStyle w:val="Tekstprzypisudolnego"/>
        <w:spacing w:line="276" w:lineRule="auto"/>
      </w:pPr>
      <w:r>
        <w:rPr>
          <w:rStyle w:val="Odwoanieprzypisudolnego"/>
        </w:rPr>
        <w:footnoteRef/>
      </w:r>
      <w:r>
        <w:t xml:space="preserve"> </w:t>
      </w:r>
      <w:r w:rsidRPr="00256137">
        <w:rPr>
          <w:rFonts w:eastAsia="Cambria"/>
          <w:lang w:eastAsia="en-US"/>
        </w:rPr>
        <w:t xml:space="preserve">Dz. U.  UE L Nr 269 z  10.10.2013 </w:t>
      </w:r>
      <w:proofErr w:type="gramStart"/>
      <w:r w:rsidRPr="00256137">
        <w:rPr>
          <w:rFonts w:eastAsia="Cambria"/>
          <w:lang w:eastAsia="en-US"/>
        </w:rPr>
        <w:t>r</w:t>
      </w:r>
      <w:proofErr w:type="gramEnd"/>
      <w:r w:rsidRPr="00256137">
        <w:rPr>
          <w:rFonts w:eastAsia="Cambria"/>
          <w:lang w:eastAsia="en-US"/>
        </w:rPr>
        <w:t>.</w:t>
      </w:r>
      <w:r>
        <w:rPr>
          <w:rFonts w:eastAsia="Cambria"/>
          <w:lang w:eastAsia="en-US"/>
        </w:rPr>
        <w:t xml:space="preserve"> z </w:t>
      </w:r>
      <w:proofErr w:type="spellStart"/>
      <w:r>
        <w:rPr>
          <w:rFonts w:eastAsia="Cambria"/>
          <w:lang w:eastAsia="en-US"/>
        </w:rPr>
        <w:t>późn</w:t>
      </w:r>
      <w:proofErr w:type="spellEnd"/>
      <w:r>
        <w:rPr>
          <w:rFonts w:eastAsia="Cambria"/>
          <w:lang w:eastAsia="en-US"/>
        </w:rPr>
        <w:t xml:space="preserve">. </w:t>
      </w:r>
      <w:proofErr w:type="gramStart"/>
      <w:r>
        <w:rPr>
          <w:rFonts w:eastAsia="Cambria"/>
          <w:lang w:eastAsia="en-US"/>
        </w:rPr>
        <w:t>zm</w:t>
      </w:r>
      <w:proofErr w:type="gramEnd"/>
      <w:r>
        <w:rPr>
          <w:rFonts w:eastAsia="Cambria"/>
          <w:lang w:eastAsia="en-US"/>
        </w:rPr>
        <w:t xml:space="preserve">.  </w:t>
      </w:r>
    </w:p>
  </w:footnote>
  <w:footnote w:id="2">
    <w:p w:rsidR="008F5AA6" w:rsidRDefault="008F5AA6" w:rsidP="008F5AA6">
      <w:pPr>
        <w:pStyle w:val="Tekstprzypisudolnego"/>
        <w:spacing w:line="276" w:lineRule="auto"/>
      </w:pPr>
      <w:r>
        <w:rPr>
          <w:rStyle w:val="Odwoanieprzypisudolnego"/>
        </w:rPr>
        <w:footnoteRef/>
      </w:r>
      <w:r>
        <w:t xml:space="preserve"> </w:t>
      </w:r>
      <w:r w:rsidRPr="00256137">
        <w:t xml:space="preserve">Dz. Urz. UE L 343 z 29.12.2015 </w:t>
      </w:r>
      <w:proofErr w:type="gramStart"/>
      <w:r w:rsidRPr="00256137">
        <w:t>r</w:t>
      </w:r>
      <w:proofErr w:type="gramEnd"/>
      <w:r w:rsidRPr="00256137">
        <w:t>.</w:t>
      </w:r>
      <w:r>
        <w:t xml:space="preserve"> z </w:t>
      </w:r>
      <w:proofErr w:type="spellStart"/>
      <w:r>
        <w:t>późn</w:t>
      </w:r>
      <w:proofErr w:type="spellEnd"/>
      <w:r>
        <w:t xml:space="preserve">. </w:t>
      </w:r>
      <w:proofErr w:type="gramStart"/>
      <w:r>
        <w:t>zm</w:t>
      </w:r>
      <w:proofErr w:type="gramEnd"/>
      <w:r>
        <w:t xml:space="preserve">.  </w:t>
      </w:r>
    </w:p>
  </w:footnote>
  <w:footnote w:id="3">
    <w:p w:rsidR="008F5AA6" w:rsidRPr="00111F3C" w:rsidRDefault="008F5AA6" w:rsidP="008F5AA6">
      <w:pPr>
        <w:pStyle w:val="Tekstprzypisudolnego"/>
        <w:spacing w:line="276" w:lineRule="auto"/>
        <w:jc w:val="both"/>
      </w:pPr>
      <w:r w:rsidRPr="00111F3C">
        <w:rPr>
          <w:rStyle w:val="Odwoanieprzypisudolnego"/>
        </w:rPr>
        <w:footnoteRef/>
      </w:r>
      <w:r w:rsidRPr="00111F3C">
        <w:t xml:space="preserve">Pojęcie </w:t>
      </w:r>
      <w:r w:rsidRPr="00111F3C">
        <w:rPr>
          <w:i/>
        </w:rPr>
        <w:t>ogólnie przyjętych zasad rachunkowości</w:t>
      </w:r>
      <w:r w:rsidRPr="00111F3C">
        <w:t xml:space="preserve"> zostało zdefiniowane w </w:t>
      </w:r>
      <w:proofErr w:type="gramStart"/>
      <w:r w:rsidRPr="00111F3C">
        <w:t xml:space="preserve">przepisach </w:t>
      </w:r>
      <w:r w:rsidRPr="00111F3C">
        <w:br/>
      </w:r>
      <w:r>
        <w:t xml:space="preserve">  </w:t>
      </w:r>
      <w:r w:rsidRPr="00111F3C">
        <w:t>art</w:t>
      </w:r>
      <w:proofErr w:type="gramEnd"/>
      <w:r w:rsidRPr="00111F3C">
        <w:t xml:space="preserve">. 1 pkt 20) </w:t>
      </w:r>
      <w:r w:rsidR="00E72360">
        <w:t xml:space="preserve">UKC </w:t>
      </w:r>
      <w:r w:rsidRPr="00111F3C">
        <w:t xml:space="preserve">RD. </w:t>
      </w:r>
    </w:p>
  </w:footnote>
  <w:footnote w:id="4">
    <w:p w:rsidR="008F5AA6" w:rsidRDefault="008F5AA6" w:rsidP="008F5AA6">
      <w:pPr>
        <w:pStyle w:val="Tekstprzypisudolnego"/>
        <w:spacing w:line="276" w:lineRule="auto"/>
      </w:pPr>
      <w:r>
        <w:rPr>
          <w:rStyle w:val="Odwoanieprzypisudolnego"/>
        </w:rPr>
        <w:footnoteRef/>
      </w:r>
      <w:r>
        <w:t xml:space="preserve"> </w:t>
      </w:r>
      <w:r w:rsidRPr="00256137">
        <w:t>Dz. Urz. UE L 343 z 29.12.2015</w:t>
      </w:r>
      <w:r>
        <w:t xml:space="preserve"> </w:t>
      </w:r>
      <w:proofErr w:type="gramStart"/>
      <w:r>
        <w:t>r</w:t>
      </w:r>
      <w:proofErr w:type="gramEnd"/>
      <w:r>
        <w:t xml:space="preserve">. z </w:t>
      </w:r>
      <w:proofErr w:type="spellStart"/>
      <w:r>
        <w:t>późn</w:t>
      </w:r>
      <w:proofErr w:type="spellEnd"/>
      <w:r>
        <w:t xml:space="preserve">. </w:t>
      </w:r>
      <w:proofErr w:type="gramStart"/>
      <w:r>
        <w:t>zm</w:t>
      </w:r>
      <w:proofErr w:type="gramEnd"/>
      <w:r>
        <w:t xml:space="preserve">. </w:t>
      </w:r>
    </w:p>
  </w:footnote>
  <w:footnote w:id="5">
    <w:p w:rsidR="002531AF" w:rsidRDefault="002531AF" w:rsidP="002531AF">
      <w:pPr>
        <w:pStyle w:val="Tekstprzypisudolnego"/>
      </w:pPr>
      <w:r>
        <w:rPr>
          <w:rStyle w:val="Odwoanieprzypisudolnego"/>
        </w:rPr>
        <w:footnoteRef/>
      </w:r>
      <w:r>
        <w:t xml:space="preserve"> Tekst jednolity: Dz.U. </w:t>
      </w:r>
      <w:proofErr w:type="gramStart"/>
      <w:r>
        <w:t>z</w:t>
      </w:r>
      <w:proofErr w:type="gramEnd"/>
      <w:r>
        <w:t xml:space="preserve"> 2018 r. </w:t>
      </w:r>
      <w:proofErr w:type="spellStart"/>
      <w:r>
        <w:t>poz</w:t>
      </w:r>
      <w:proofErr w:type="spellEnd"/>
      <w:r>
        <w:t xml:space="preserve">, 167.  </w:t>
      </w:r>
    </w:p>
  </w:footnote>
  <w:footnote w:id="6">
    <w:p w:rsidR="002531AF" w:rsidRDefault="002531AF" w:rsidP="002531AF">
      <w:pPr>
        <w:pStyle w:val="Tekstprzypisudolnego"/>
        <w:jc w:val="both"/>
      </w:pPr>
      <w:r>
        <w:rPr>
          <w:rStyle w:val="Odwoanieprzypisudolnego"/>
        </w:rPr>
        <w:footnoteRef/>
      </w:r>
      <w:r>
        <w:t xml:space="preserve"> </w:t>
      </w:r>
      <w:r w:rsidR="00EB3D4C">
        <w:t xml:space="preserve">Tekst jednolity: Dz. U. </w:t>
      </w:r>
      <w:proofErr w:type="gramStart"/>
      <w:r w:rsidR="00EB3D4C">
        <w:t>z</w:t>
      </w:r>
      <w:proofErr w:type="gramEnd"/>
      <w:r w:rsidR="00EB3D4C">
        <w:t xml:space="preserve"> 2018 r. poz. 170. </w:t>
      </w:r>
    </w:p>
  </w:footnote>
  <w:footnote w:id="7">
    <w:p w:rsidR="008F5AA6" w:rsidRDefault="008F5AA6" w:rsidP="008F5AA6">
      <w:pPr>
        <w:pStyle w:val="Tekstprzypisudolnego"/>
        <w:spacing w:line="276" w:lineRule="auto"/>
      </w:pPr>
      <w:r>
        <w:rPr>
          <w:rStyle w:val="Odwoanieprzypisudolnego"/>
        </w:rPr>
        <w:footnoteRef/>
      </w:r>
      <w:r>
        <w:t xml:space="preserve"> </w:t>
      </w:r>
      <w:r>
        <w:rPr>
          <w:bCs/>
        </w:rPr>
        <w:t xml:space="preserve"> T</w:t>
      </w:r>
      <w:r w:rsidR="00E72360">
        <w:rPr>
          <w:bCs/>
        </w:rPr>
        <w:t>ekst jednolity</w:t>
      </w:r>
      <w:r>
        <w:rPr>
          <w:bCs/>
        </w:rPr>
        <w:t xml:space="preserve">: Dz. U. </w:t>
      </w:r>
      <w:proofErr w:type="gramStart"/>
      <w:r w:rsidR="00004404">
        <w:rPr>
          <w:bCs/>
        </w:rPr>
        <w:t>z</w:t>
      </w:r>
      <w:proofErr w:type="gramEnd"/>
      <w:r w:rsidR="00004404">
        <w:rPr>
          <w:bCs/>
        </w:rPr>
        <w:t xml:space="preserve"> 2018 r</w:t>
      </w:r>
      <w:r w:rsidR="00E72360">
        <w:rPr>
          <w:bCs/>
        </w:rPr>
        <w:t>. poz. 395.</w:t>
      </w:r>
    </w:p>
  </w:footnote>
  <w:footnote w:id="8">
    <w:p w:rsidR="008F5AA6" w:rsidRPr="00CF6E15" w:rsidRDefault="008F5AA6" w:rsidP="008F5AA6">
      <w:pPr>
        <w:pStyle w:val="Tekstprzypisudolnego"/>
        <w:spacing w:line="276" w:lineRule="auto"/>
        <w:jc w:val="both"/>
      </w:pPr>
      <w:r w:rsidRPr="00CF6E15">
        <w:rPr>
          <w:rStyle w:val="Odwoanieprzypisudolnego"/>
        </w:rPr>
        <w:footnoteRef/>
      </w:r>
      <w:r w:rsidRPr="00CF6E15">
        <w:t xml:space="preserve"> </w:t>
      </w:r>
      <w:r>
        <w:t xml:space="preserve"> </w:t>
      </w:r>
      <w:r w:rsidR="009D35A8">
        <w:t xml:space="preserve"> Tekst jednolity: Dz. U. </w:t>
      </w:r>
      <w:proofErr w:type="gramStart"/>
      <w:r w:rsidR="009D35A8">
        <w:t>z</w:t>
      </w:r>
      <w:proofErr w:type="gramEnd"/>
      <w:r w:rsidR="009D35A8">
        <w:t xml:space="preserve"> 2018 r. poz. 167,</w:t>
      </w:r>
      <w:r>
        <w:t xml:space="preserve"> </w:t>
      </w:r>
    </w:p>
  </w:footnote>
  <w:footnote w:id="9">
    <w:p w:rsidR="008F5AA6" w:rsidRPr="008A68AB" w:rsidRDefault="008F5AA6" w:rsidP="008F5AA6">
      <w:pPr>
        <w:autoSpaceDE w:val="0"/>
        <w:autoSpaceDN w:val="0"/>
        <w:adjustRightInd w:val="0"/>
        <w:jc w:val="both"/>
        <w:rPr>
          <w:rFonts w:ascii="Times New Roman" w:eastAsia="Cambria" w:hAnsi="Times New Roman"/>
          <w:b/>
          <w:i/>
          <w:sz w:val="20"/>
          <w:szCs w:val="20"/>
        </w:rPr>
      </w:pPr>
      <w:r w:rsidRPr="008A68AB">
        <w:rPr>
          <w:rStyle w:val="Odwoanieprzypisudolnego"/>
          <w:rFonts w:ascii="Times New Roman" w:hAnsi="Times New Roman"/>
          <w:sz w:val="20"/>
          <w:szCs w:val="20"/>
        </w:rPr>
        <w:footnoteRef/>
      </w:r>
      <w:r w:rsidRPr="008A68AB">
        <w:rPr>
          <w:rFonts w:ascii="Times New Roman" w:hAnsi="Times New Roman"/>
          <w:sz w:val="20"/>
          <w:szCs w:val="20"/>
        </w:rPr>
        <w:t xml:space="preserve"> </w:t>
      </w:r>
      <w:r w:rsidRPr="008A68AB">
        <w:rPr>
          <w:rFonts w:ascii="Times New Roman" w:eastAsia="Cambria" w:hAnsi="Times New Roman"/>
          <w:sz w:val="20"/>
          <w:szCs w:val="20"/>
        </w:rPr>
        <w:t xml:space="preserve">W związku z wejściem w życie od 1 maja 2016 r. nowego unijnego prawodawstwa celnego Komisja Europejska zapowiedziała przygotowanie nowych wytycznych odnoszących się do stosowania unijnego prawa celnego w zakresie ustalania wartości celnej, które zastąpią wytyczne zgromadzone w </w:t>
      </w:r>
      <w:r w:rsidRPr="008A68AB">
        <w:rPr>
          <w:rFonts w:ascii="Times New Roman" w:eastAsia="Cambria" w:hAnsi="Times New Roman"/>
          <w:i/>
          <w:sz w:val="20"/>
          <w:szCs w:val="20"/>
        </w:rPr>
        <w:t xml:space="preserve">Kompendium tekstów odnoszących się do wartości celnej, przyjętych przez Komitet Kodeksu Celnego – Sekcję Wartości </w:t>
      </w:r>
      <w:r w:rsidRPr="008A68AB">
        <w:rPr>
          <w:rFonts w:ascii="Times New Roman" w:eastAsia="Cambria" w:hAnsi="Times New Roman"/>
          <w:sz w:val="20"/>
          <w:szCs w:val="20"/>
        </w:rPr>
        <w:t>(</w:t>
      </w:r>
      <w:r w:rsidRPr="008A68AB">
        <w:rPr>
          <w:rFonts w:ascii="Times New Roman" w:eastAsia="Cambria" w:hAnsi="Times New Roman"/>
          <w:i/>
          <w:sz w:val="20"/>
          <w:szCs w:val="20"/>
        </w:rPr>
        <w:t>Kompendium</w:t>
      </w:r>
      <w:r w:rsidRPr="008A68AB">
        <w:rPr>
          <w:rFonts w:ascii="Times New Roman" w:eastAsia="Cambria" w:hAnsi="Times New Roman"/>
          <w:sz w:val="20"/>
          <w:szCs w:val="20"/>
        </w:rPr>
        <w:t xml:space="preserve"> to jest opublikowane na stronie internetowej Ministerstwa Finansów, w zakładce </w:t>
      </w:r>
      <w:r w:rsidRPr="008A68AB">
        <w:rPr>
          <w:rFonts w:ascii="Times New Roman" w:eastAsia="Cambria" w:hAnsi="Times New Roman"/>
          <w:i/>
          <w:sz w:val="20"/>
          <w:szCs w:val="20"/>
        </w:rPr>
        <w:t xml:space="preserve">Cło </w:t>
      </w:r>
      <w:r w:rsidRPr="008A68AB">
        <w:rPr>
          <w:rFonts w:ascii="Times New Roman" w:eastAsia="Cambria" w:hAnsi="Times New Roman"/>
          <w:sz w:val="20"/>
          <w:szCs w:val="20"/>
        </w:rPr>
        <w:t xml:space="preserve">oraz na stronie internetowej Dyrekcji Generalnej ds. Podatków i Unii Celnej (TAXUD)). Niemniej z uwagi na fakt, że unijne przepisy celne odnoszące się do ustalania wartości celnej odzwierciadlają postanowienia </w:t>
      </w:r>
      <w:r w:rsidRPr="008A68AB">
        <w:rPr>
          <w:rFonts w:ascii="Times New Roman" w:eastAsia="Cambria" w:hAnsi="Times New Roman"/>
          <w:i/>
          <w:sz w:val="20"/>
          <w:szCs w:val="20"/>
        </w:rPr>
        <w:t xml:space="preserve">Porozumienia w sprawie stosowania Artykułu VII Układu ogólnego w sprawie taryf celnych i </w:t>
      </w:r>
      <w:r w:rsidR="008A68AB" w:rsidRPr="008A68AB">
        <w:rPr>
          <w:rFonts w:ascii="Times New Roman" w:eastAsia="Cambria" w:hAnsi="Times New Roman"/>
          <w:i/>
          <w:sz w:val="20"/>
          <w:szCs w:val="20"/>
        </w:rPr>
        <w:t>handlu 1994</w:t>
      </w:r>
      <w:r w:rsidR="008A68AB" w:rsidRPr="008A68AB">
        <w:rPr>
          <w:rFonts w:ascii="Times New Roman" w:eastAsia="Cambria" w:hAnsi="Times New Roman"/>
          <w:sz w:val="20"/>
          <w:szCs w:val="20"/>
        </w:rPr>
        <w:t xml:space="preserve"> (tzw</w:t>
      </w:r>
      <w:r w:rsidRPr="008A68AB">
        <w:rPr>
          <w:rFonts w:ascii="Times New Roman" w:eastAsia="Cambria" w:hAnsi="Times New Roman"/>
          <w:sz w:val="20"/>
          <w:szCs w:val="20"/>
        </w:rPr>
        <w:t xml:space="preserve">. </w:t>
      </w:r>
      <w:r w:rsidRPr="008A68AB">
        <w:rPr>
          <w:rFonts w:ascii="Times New Roman" w:eastAsia="Cambria" w:hAnsi="Times New Roman"/>
          <w:i/>
          <w:sz w:val="20"/>
          <w:szCs w:val="20"/>
        </w:rPr>
        <w:t>Kodeks wartości celnej WTO</w:t>
      </w:r>
      <w:r w:rsidRPr="008A68AB">
        <w:rPr>
          <w:rFonts w:ascii="Times New Roman" w:eastAsia="Cambria" w:hAnsi="Times New Roman"/>
          <w:sz w:val="20"/>
          <w:szCs w:val="20"/>
        </w:rPr>
        <w:t xml:space="preserve">) wskazówki odnoszące się do interpretowania i stosowania przepisów prawnych regulujących zasady ustalania wartości celnej przywożonych towarów, które zawarte są w tym </w:t>
      </w:r>
      <w:r w:rsidR="008A68AB" w:rsidRPr="008A68AB">
        <w:rPr>
          <w:rFonts w:ascii="Times New Roman" w:eastAsia="Cambria" w:hAnsi="Times New Roman"/>
          <w:i/>
          <w:sz w:val="20"/>
          <w:szCs w:val="20"/>
        </w:rPr>
        <w:t>Kompendium</w:t>
      </w:r>
      <w:r w:rsidR="008A68AB" w:rsidRPr="008A68AB">
        <w:rPr>
          <w:rFonts w:ascii="Times New Roman" w:eastAsia="Cambria" w:hAnsi="Times New Roman"/>
          <w:sz w:val="20"/>
          <w:szCs w:val="20"/>
        </w:rPr>
        <w:t>, w</w:t>
      </w:r>
      <w:r w:rsidRPr="008A68AB">
        <w:rPr>
          <w:rFonts w:ascii="Times New Roman" w:eastAsia="Cambria" w:hAnsi="Times New Roman"/>
          <w:sz w:val="20"/>
          <w:szCs w:val="20"/>
        </w:rPr>
        <w:t xml:space="preserve"> zdecydowanej większości przypadków, pozostają aktualne także pod rządami nowego unijnego prawa celnego w zakresie ustalania wartości celnej.   </w:t>
      </w:r>
    </w:p>
    <w:p w:rsidR="008F5AA6" w:rsidRDefault="008F5AA6" w:rsidP="008F5AA6">
      <w:pPr>
        <w:pStyle w:val="Tekstprzypisudolnego"/>
        <w:spacing w:line="276"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BCD"/>
    <w:multiLevelType w:val="hybridMultilevel"/>
    <w:tmpl w:val="8AA68A4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3A5093F"/>
    <w:multiLevelType w:val="hybridMultilevel"/>
    <w:tmpl w:val="C35C5D3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3F57879"/>
    <w:multiLevelType w:val="hybridMultilevel"/>
    <w:tmpl w:val="7CF2EB94"/>
    <w:lvl w:ilvl="0" w:tplc="37761D68">
      <w:start w:val="1"/>
      <w:numFmt w:val="decimal"/>
      <w:lvlText w:val="%1."/>
      <w:lvlJc w:val="left"/>
      <w:pPr>
        <w:ind w:left="360" w:hanging="360"/>
      </w:pPr>
      <w:rPr>
        <w:rFonts w:hint="default"/>
        <w:b/>
        <w:i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7AE5776"/>
    <w:multiLevelType w:val="hybridMultilevel"/>
    <w:tmpl w:val="D9F4E8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98B3DC3"/>
    <w:multiLevelType w:val="hybridMultilevel"/>
    <w:tmpl w:val="2076934E"/>
    <w:lvl w:ilvl="0" w:tplc="554CC434">
      <w:start w:val="1"/>
      <w:numFmt w:val="decimal"/>
      <w:lvlText w:val="%1."/>
      <w:lvlJc w:val="left"/>
      <w:pPr>
        <w:tabs>
          <w:tab w:val="num" w:pos="360"/>
        </w:tabs>
        <w:ind w:left="360" w:hanging="360"/>
      </w:pPr>
      <w:rPr>
        <w:rFonts w:hint="default"/>
        <w:b/>
        <w:i w:val="0"/>
      </w:rPr>
    </w:lvl>
    <w:lvl w:ilvl="1" w:tplc="C41614D4">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0E9F1D81"/>
    <w:multiLevelType w:val="hybridMultilevel"/>
    <w:tmpl w:val="66683800"/>
    <w:lvl w:ilvl="0" w:tplc="1DEE8EE6">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08A20A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
    <w:nsid w:val="10B80736"/>
    <w:multiLevelType w:val="hybridMultilevel"/>
    <w:tmpl w:val="DD468496"/>
    <w:lvl w:ilvl="0" w:tplc="CE1455E4">
      <w:start w:val="1"/>
      <w:numFmt w:val="upperRoman"/>
      <w:lvlText w:val="%1."/>
      <w:lvlJc w:val="left"/>
      <w:pPr>
        <w:ind w:left="720" w:hanging="720"/>
      </w:pPr>
      <w:rPr>
        <w:rFonts w:hint="default"/>
        <w:i w:val="0"/>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E75880"/>
    <w:multiLevelType w:val="hybridMultilevel"/>
    <w:tmpl w:val="D91C925E"/>
    <w:lvl w:ilvl="0" w:tplc="E59875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A7A649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nsid w:val="1C563AA9"/>
    <w:multiLevelType w:val="hybridMultilevel"/>
    <w:tmpl w:val="F0F0E554"/>
    <w:lvl w:ilvl="0" w:tplc="C7DE144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1ED80A06"/>
    <w:multiLevelType w:val="hybridMultilevel"/>
    <w:tmpl w:val="8C1E03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8E18E1"/>
    <w:multiLevelType w:val="hybridMultilevel"/>
    <w:tmpl w:val="C7CEDE6C"/>
    <w:lvl w:ilvl="0" w:tplc="BEAC4C0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1BA0E8E"/>
    <w:multiLevelType w:val="hybridMultilevel"/>
    <w:tmpl w:val="2F122DD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25B2B07"/>
    <w:multiLevelType w:val="hybridMultilevel"/>
    <w:tmpl w:val="A2EA8918"/>
    <w:lvl w:ilvl="0" w:tplc="D3BA03D4">
      <w:start w:val="1"/>
      <w:numFmt w:val="lowerLetter"/>
      <w:lvlText w:val="%1)"/>
      <w:lvlJc w:val="left"/>
      <w:pPr>
        <w:ind w:left="360" w:hanging="360"/>
      </w:pPr>
      <w:rPr>
        <w:rFonts w:ascii="Times New Roman" w:eastAsia="Calibri" w:hAnsi="Times New Roman" w:cs="Times New Roman" w:hint="default"/>
        <w:b/>
        <w:sz w:val="24"/>
        <w:szCs w:val="24"/>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3453CBF"/>
    <w:multiLevelType w:val="hybridMultilevel"/>
    <w:tmpl w:val="6308B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6A95E5A"/>
    <w:multiLevelType w:val="hybridMultilevel"/>
    <w:tmpl w:val="CCCA0C1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A7C1688"/>
    <w:multiLevelType w:val="hybridMultilevel"/>
    <w:tmpl w:val="11FAEEAE"/>
    <w:lvl w:ilvl="0" w:tplc="E59875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2A972731"/>
    <w:multiLevelType w:val="hybridMultilevel"/>
    <w:tmpl w:val="62B2BB60"/>
    <w:lvl w:ilvl="0" w:tplc="6F9C224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C7532B3"/>
    <w:multiLevelType w:val="hybridMultilevel"/>
    <w:tmpl w:val="78746086"/>
    <w:lvl w:ilvl="0" w:tplc="5B6813E0">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2CC6672F"/>
    <w:multiLevelType w:val="hybridMultilevel"/>
    <w:tmpl w:val="A23E8E52"/>
    <w:lvl w:ilvl="0" w:tplc="E59875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2D1376B2"/>
    <w:multiLevelType w:val="hybridMultilevel"/>
    <w:tmpl w:val="B590CDB8"/>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D153B83"/>
    <w:multiLevelType w:val="hybridMultilevel"/>
    <w:tmpl w:val="A2E475B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D705834"/>
    <w:multiLevelType w:val="hybridMultilevel"/>
    <w:tmpl w:val="D576AEF6"/>
    <w:lvl w:ilvl="0" w:tplc="9A123C58">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32CE3A7E"/>
    <w:multiLevelType w:val="hybridMultilevel"/>
    <w:tmpl w:val="76CAC6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59B45B6"/>
    <w:multiLevelType w:val="hybridMultilevel"/>
    <w:tmpl w:val="9E98C93A"/>
    <w:lvl w:ilvl="0" w:tplc="5BA2E9BC">
      <w:start w:val="1"/>
      <w:numFmt w:val="decimal"/>
      <w:lvlText w:val="%1."/>
      <w:lvlJc w:val="left"/>
      <w:pPr>
        <w:tabs>
          <w:tab w:val="num" w:pos="720"/>
        </w:tabs>
        <w:ind w:left="720" w:hanging="360"/>
      </w:pPr>
      <w:rPr>
        <w:rFonts w:ascii="Times New Roman" w:hAnsi="Times New Roman" w:cs="Times New Roman" w:hint="default"/>
        <w:sz w:val="24"/>
        <w:szCs w:val="24"/>
      </w:rPr>
    </w:lvl>
    <w:lvl w:ilvl="1" w:tplc="04150001">
      <w:start w:val="1"/>
      <w:numFmt w:val="bullet"/>
      <w:lvlText w:val=""/>
      <w:lvlJc w:val="left"/>
      <w:pPr>
        <w:tabs>
          <w:tab w:val="num" w:pos="470"/>
        </w:tabs>
        <w:ind w:left="470" w:hanging="360"/>
      </w:pPr>
      <w:rPr>
        <w:rFonts w:ascii="Symbol" w:hAnsi="Symbol" w:hint="default"/>
      </w:rPr>
    </w:lvl>
    <w:lvl w:ilvl="2" w:tplc="DC1A801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F0D2740"/>
    <w:multiLevelType w:val="hybridMultilevel"/>
    <w:tmpl w:val="01020256"/>
    <w:lvl w:ilvl="0" w:tplc="EABCB05E">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F3F22F1"/>
    <w:multiLevelType w:val="hybridMultilevel"/>
    <w:tmpl w:val="6688D2F6"/>
    <w:lvl w:ilvl="0" w:tplc="04150001">
      <w:start w:val="1"/>
      <w:numFmt w:val="bullet"/>
      <w:lvlText w:val=""/>
      <w:lvlJc w:val="left"/>
      <w:pPr>
        <w:ind w:left="1119" w:hanging="360"/>
      </w:pPr>
      <w:rPr>
        <w:rFonts w:ascii="Symbol" w:hAnsi="Symbol" w:hint="default"/>
      </w:rPr>
    </w:lvl>
    <w:lvl w:ilvl="1" w:tplc="04150003" w:tentative="1">
      <w:start w:val="1"/>
      <w:numFmt w:val="bullet"/>
      <w:lvlText w:val="o"/>
      <w:lvlJc w:val="left"/>
      <w:pPr>
        <w:ind w:left="1839" w:hanging="360"/>
      </w:pPr>
      <w:rPr>
        <w:rFonts w:ascii="Courier New" w:hAnsi="Courier New" w:cs="Courier New" w:hint="default"/>
      </w:rPr>
    </w:lvl>
    <w:lvl w:ilvl="2" w:tplc="04150005" w:tentative="1">
      <w:start w:val="1"/>
      <w:numFmt w:val="bullet"/>
      <w:lvlText w:val=""/>
      <w:lvlJc w:val="left"/>
      <w:pPr>
        <w:ind w:left="2559" w:hanging="360"/>
      </w:pPr>
      <w:rPr>
        <w:rFonts w:ascii="Wingdings" w:hAnsi="Wingdings" w:hint="default"/>
      </w:rPr>
    </w:lvl>
    <w:lvl w:ilvl="3" w:tplc="04150001" w:tentative="1">
      <w:start w:val="1"/>
      <w:numFmt w:val="bullet"/>
      <w:lvlText w:val=""/>
      <w:lvlJc w:val="left"/>
      <w:pPr>
        <w:ind w:left="3279" w:hanging="360"/>
      </w:pPr>
      <w:rPr>
        <w:rFonts w:ascii="Symbol" w:hAnsi="Symbol" w:hint="default"/>
      </w:rPr>
    </w:lvl>
    <w:lvl w:ilvl="4" w:tplc="04150003" w:tentative="1">
      <w:start w:val="1"/>
      <w:numFmt w:val="bullet"/>
      <w:lvlText w:val="o"/>
      <w:lvlJc w:val="left"/>
      <w:pPr>
        <w:ind w:left="3999" w:hanging="360"/>
      </w:pPr>
      <w:rPr>
        <w:rFonts w:ascii="Courier New" w:hAnsi="Courier New" w:cs="Courier New" w:hint="default"/>
      </w:rPr>
    </w:lvl>
    <w:lvl w:ilvl="5" w:tplc="04150005" w:tentative="1">
      <w:start w:val="1"/>
      <w:numFmt w:val="bullet"/>
      <w:lvlText w:val=""/>
      <w:lvlJc w:val="left"/>
      <w:pPr>
        <w:ind w:left="4719" w:hanging="360"/>
      </w:pPr>
      <w:rPr>
        <w:rFonts w:ascii="Wingdings" w:hAnsi="Wingdings" w:hint="default"/>
      </w:rPr>
    </w:lvl>
    <w:lvl w:ilvl="6" w:tplc="04150001" w:tentative="1">
      <w:start w:val="1"/>
      <w:numFmt w:val="bullet"/>
      <w:lvlText w:val=""/>
      <w:lvlJc w:val="left"/>
      <w:pPr>
        <w:ind w:left="5439" w:hanging="360"/>
      </w:pPr>
      <w:rPr>
        <w:rFonts w:ascii="Symbol" w:hAnsi="Symbol" w:hint="default"/>
      </w:rPr>
    </w:lvl>
    <w:lvl w:ilvl="7" w:tplc="04150003" w:tentative="1">
      <w:start w:val="1"/>
      <w:numFmt w:val="bullet"/>
      <w:lvlText w:val="o"/>
      <w:lvlJc w:val="left"/>
      <w:pPr>
        <w:ind w:left="6159" w:hanging="360"/>
      </w:pPr>
      <w:rPr>
        <w:rFonts w:ascii="Courier New" w:hAnsi="Courier New" w:cs="Courier New" w:hint="default"/>
      </w:rPr>
    </w:lvl>
    <w:lvl w:ilvl="8" w:tplc="04150005" w:tentative="1">
      <w:start w:val="1"/>
      <w:numFmt w:val="bullet"/>
      <w:lvlText w:val=""/>
      <w:lvlJc w:val="left"/>
      <w:pPr>
        <w:ind w:left="6879" w:hanging="360"/>
      </w:pPr>
      <w:rPr>
        <w:rFonts w:ascii="Wingdings" w:hAnsi="Wingdings" w:hint="default"/>
      </w:rPr>
    </w:lvl>
  </w:abstractNum>
  <w:abstractNum w:abstractNumId="28">
    <w:nsid w:val="40926F47"/>
    <w:multiLevelType w:val="hybridMultilevel"/>
    <w:tmpl w:val="E6ECAE64"/>
    <w:lvl w:ilvl="0" w:tplc="AC4EB53A">
      <w:start w:val="1"/>
      <w:numFmt w:val="decimal"/>
      <w:lvlText w:val="%1."/>
      <w:lvlJc w:val="left"/>
      <w:pPr>
        <w:tabs>
          <w:tab w:val="num" w:pos="1440"/>
        </w:tabs>
        <w:ind w:left="1440" w:hanging="360"/>
      </w:pPr>
      <w:rPr>
        <w:rFonts w:hint="default"/>
        <w:b/>
      </w:rPr>
    </w:lvl>
    <w:lvl w:ilvl="1" w:tplc="04150001">
      <w:start w:val="1"/>
      <w:numFmt w:val="bullet"/>
      <w:lvlText w:val=""/>
      <w:lvlJc w:val="left"/>
      <w:pPr>
        <w:tabs>
          <w:tab w:val="num" w:pos="690"/>
        </w:tabs>
        <w:ind w:left="69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1E40DE9"/>
    <w:multiLevelType w:val="hybridMultilevel"/>
    <w:tmpl w:val="A61AC06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nsid w:val="438910BC"/>
    <w:multiLevelType w:val="hybridMultilevel"/>
    <w:tmpl w:val="A67ECC62"/>
    <w:lvl w:ilvl="0" w:tplc="7D4416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85E134C"/>
    <w:multiLevelType w:val="hybridMultilevel"/>
    <w:tmpl w:val="82EABF82"/>
    <w:lvl w:ilvl="0" w:tplc="9856B0BE">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C133088"/>
    <w:multiLevelType w:val="hybridMultilevel"/>
    <w:tmpl w:val="2B469C1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nsid w:val="4DDB0E87"/>
    <w:multiLevelType w:val="hybridMultilevel"/>
    <w:tmpl w:val="BBE24D6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50157284"/>
    <w:multiLevelType w:val="hybridMultilevel"/>
    <w:tmpl w:val="AB5EA164"/>
    <w:lvl w:ilvl="0" w:tplc="2886ED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5663562C"/>
    <w:multiLevelType w:val="singleLevel"/>
    <w:tmpl w:val="E1E22BA2"/>
    <w:lvl w:ilvl="0">
      <w:start w:val="1"/>
      <w:numFmt w:val="decimal"/>
      <w:lvlText w:val="%1."/>
      <w:lvlJc w:val="left"/>
      <w:pPr>
        <w:tabs>
          <w:tab w:val="num" w:pos="360"/>
        </w:tabs>
        <w:ind w:left="360" w:hanging="360"/>
      </w:pPr>
      <w:rPr>
        <w:rFonts w:hint="default"/>
      </w:rPr>
    </w:lvl>
  </w:abstractNum>
  <w:abstractNum w:abstractNumId="36">
    <w:nsid w:val="58186C10"/>
    <w:multiLevelType w:val="hybridMultilevel"/>
    <w:tmpl w:val="DB525994"/>
    <w:lvl w:ilvl="0" w:tplc="F0103D86">
      <w:start w:val="1"/>
      <w:numFmt w:val="lowerLetter"/>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C3F24C7"/>
    <w:multiLevelType w:val="hybridMultilevel"/>
    <w:tmpl w:val="3A923D28"/>
    <w:lvl w:ilvl="0" w:tplc="2A7E7DEC">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CAF7C51"/>
    <w:multiLevelType w:val="hybridMultilevel"/>
    <w:tmpl w:val="F8520748"/>
    <w:lvl w:ilvl="0" w:tplc="A1804AD2">
      <w:start w:val="1"/>
      <w:numFmt w:val="lowerLetter"/>
      <w:lvlText w:val="%1)"/>
      <w:lvlJc w:val="left"/>
      <w:pPr>
        <w:ind w:left="720" w:hanging="360"/>
      </w:pPr>
      <w:rPr>
        <w:rFonts w:ascii="Times New Roman" w:eastAsia="Calibri" w:hAnsi="Times New Roman" w:cs="Times New Roman" w:hint="default"/>
        <w:b/>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BC102B"/>
    <w:multiLevelType w:val="hybridMultilevel"/>
    <w:tmpl w:val="FC063E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687A56A1"/>
    <w:multiLevelType w:val="hybridMultilevel"/>
    <w:tmpl w:val="4A0E864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6EBA35BA"/>
    <w:multiLevelType w:val="hybridMultilevel"/>
    <w:tmpl w:val="E390A87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6F5B4517"/>
    <w:multiLevelType w:val="singleLevel"/>
    <w:tmpl w:val="7354D24C"/>
    <w:lvl w:ilvl="0">
      <w:start w:val="1"/>
      <w:numFmt w:val="lowerLetter"/>
      <w:lvlText w:val="%1)"/>
      <w:lvlJc w:val="left"/>
      <w:pPr>
        <w:tabs>
          <w:tab w:val="num" w:pos="360"/>
        </w:tabs>
        <w:ind w:left="360" w:hanging="360"/>
      </w:pPr>
      <w:rPr>
        <w:rFonts w:hint="default"/>
      </w:rPr>
    </w:lvl>
  </w:abstractNum>
  <w:abstractNum w:abstractNumId="43">
    <w:nsid w:val="7AFC5A1E"/>
    <w:multiLevelType w:val="singleLevel"/>
    <w:tmpl w:val="0706D7F2"/>
    <w:lvl w:ilvl="0">
      <w:start w:val="1"/>
      <w:numFmt w:val="decimal"/>
      <w:lvlText w:val="%1)"/>
      <w:lvlJc w:val="left"/>
      <w:pPr>
        <w:tabs>
          <w:tab w:val="num" w:pos="360"/>
        </w:tabs>
        <w:ind w:left="360" w:hanging="360"/>
      </w:pPr>
      <w:rPr>
        <w:rFonts w:hint="default"/>
      </w:rPr>
    </w:lvl>
  </w:abstractNum>
  <w:abstractNum w:abstractNumId="44">
    <w:nsid w:val="7E30472A"/>
    <w:multiLevelType w:val="hybridMultilevel"/>
    <w:tmpl w:val="89286266"/>
    <w:lvl w:ilvl="0" w:tplc="48A08DC2">
      <w:start w:val="1"/>
      <w:numFmt w:val="bullet"/>
      <w:lvlText w:val=""/>
      <w:lvlJc w:val="left"/>
      <w:pPr>
        <w:ind w:left="360" w:hanging="360"/>
      </w:pPr>
      <w:rPr>
        <w:rFonts w:ascii="Wingdings" w:hAnsi="Wingdings" w:hint="default"/>
        <w:color w:val="FF0000"/>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7EF9593F"/>
    <w:multiLevelType w:val="hybridMultilevel"/>
    <w:tmpl w:val="3BAA37A4"/>
    <w:lvl w:ilvl="0" w:tplc="C7DE144C">
      <w:start w:val="1"/>
      <w:numFmt w:val="lowerLetter"/>
      <w:lvlText w:val="%1)"/>
      <w:lvlJc w:val="left"/>
      <w:pPr>
        <w:tabs>
          <w:tab w:val="num" w:pos="470"/>
        </w:tabs>
        <w:ind w:left="470" w:hanging="360"/>
      </w:pPr>
      <w:rPr>
        <w:rFonts w:hint="default"/>
      </w:rPr>
    </w:lvl>
    <w:lvl w:ilvl="1" w:tplc="04150019" w:tentative="1">
      <w:start w:val="1"/>
      <w:numFmt w:val="lowerLetter"/>
      <w:lvlText w:val="%2."/>
      <w:lvlJc w:val="left"/>
      <w:pPr>
        <w:tabs>
          <w:tab w:val="num" w:pos="1190"/>
        </w:tabs>
        <w:ind w:left="1190" w:hanging="360"/>
      </w:pPr>
    </w:lvl>
    <w:lvl w:ilvl="2" w:tplc="0415001B" w:tentative="1">
      <w:start w:val="1"/>
      <w:numFmt w:val="lowerRoman"/>
      <w:lvlText w:val="%3."/>
      <w:lvlJc w:val="right"/>
      <w:pPr>
        <w:tabs>
          <w:tab w:val="num" w:pos="1910"/>
        </w:tabs>
        <w:ind w:left="1910" w:hanging="180"/>
      </w:pPr>
    </w:lvl>
    <w:lvl w:ilvl="3" w:tplc="0415000F" w:tentative="1">
      <w:start w:val="1"/>
      <w:numFmt w:val="decimal"/>
      <w:lvlText w:val="%4."/>
      <w:lvlJc w:val="left"/>
      <w:pPr>
        <w:tabs>
          <w:tab w:val="num" w:pos="2630"/>
        </w:tabs>
        <w:ind w:left="2630" w:hanging="360"/>
      </w:pPr>
    </w:lvl>
    <w:lvl w:ilvl="4" w:tplc="04150019" w:tentative="1">
      <w:start w:val="1"/>
      <w:numFmt w:val="lowerLetter"/>
      <w:lvlText w:val="%5."/>
      <w:lvlJc w:val="left"/>
      <w:pPr>
        <w:tabs>
          <w:tab w:val="num" w:pos="3350"/>
        </w:tabs>
        <w:ind w:left="3350" w:hanging="360"/>
      </w:pPr>
    </w:lvl>
    <w:lvl w:ilvl="5" w:tplc="0415001B" w:tentative="1">
      <w:start w:val="1"/>
      <w:numFmt w:val="lowerRoman"/>
      <w:lvlText w:val="%6."/>
      <w:lvlJc w:val="right"/>
      <w:pPr>
        <w:tabs>
          <w:tab w:val="num" w:pos="4070"/>
        </w:tabs>
        <w:ind w:left="4070" w:hanging="180"/>
      </w:pPr>
    </w:lvl>
    <w:lvl w:ilvl="6" w:tplc="0415000F" w:tentative="1">
      <w:start w:val="1"/>
      <w:numFmt w:val="decimal"/>
      <w:lvlText w:val="%7."/>
      <w:lvlJc w:val="left"/>
      <w:pPr>
        <w:tabs>
          <w:tab w:val="num" w:pos="4790"/>
        </w:tabs>
        <w:ind w:left="4790" w:hanging="360"/>
      </w:pPr>
    </w:lvl>
    <w:lvl w:ilvl="7" w:tplc="04150019" w:tentative="1">
      <w:start w:val="1"/>
      <w:numFmt w:val="lowerLetter"/>
      <w:lvlText w:val="%8."/>
      <w:lvlJc w:val="left"/>
      <w:pPr>
        <w:tabs>
          <w:tab w:val="num" w:pos="5510"/>
        </w:tabs>
        <w:ind w:left="5510" w:hanging="360"/>
      </w:pPr>
    </w:lvl>
    <w:lvl w:ilvl="8" w:tplc="0415001B" w:tentative="1">
      <w:start w:val="1"/>
      <w:numFmt w:val="lowerRoman"/>
      <w:lvlText w:val="%9."/>
      <w:lvlJc w:val="right"/>
      <w:pPr>
        <w:tabs>
          <w:tab w:val="num" w:pos="6230"/>
        </w:tabs>
        <w:ind w:left="6230" w:hanging="180"/>
      </w:pPr>
    </w:lvl>
  </w:abstractNum>
  <w:abstractNum w:abstractNumId="46">
    <w:nsid w:val="7F301C5C"/>
    <w:multiLevelType w:val="hybridMultilevel"/>
    <w:tmpl w:val="7A4072F6"/>
    <w:lvl w:ilvl="0" w:tplc="E78A38B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3"/>
  </w:num>
  <w:num w:numId="2">
    <w:abstractNumId w:val="42"/>
  </w:num>
  <w:num w:numId="3">
    <w:abstractNumId w:val="6"/>
  </w:num>
  <w:num w:numId="4">
    <w:abstractNumId w:val="9"/>
  </w:num>
  <w:num w:numId="5">
    <w:abstractNumId w:val="35"/>
  </w:num>
  <w:num w:numId="6">
    <w:abstractNumId w:val="25"/>
  </w:num>
  <w:num w:numId="7">
    <w:abstractNumId w:val="10"/>
  </w:num>
  <w:num w:numId="8">
    <w:abstractNumId w:val="29"/>
  </w:num>
  <w:num w:numId="9">
    <w:abstractNumId w:val="19"/>
  </w:num>
  <w:num w:numId="10">
    <w:abstractNumId w:val="45"/>
  </w:num>
  <w:num w:numId="11">
    <w:abstractNumId w:val="21"/>
  </w:num>
  <w:num w:numId="12">
    <w:abstractNumId w:val="0"/>
  </w:num>
  <w:num w:numId="13">
    <w:abstractNumId w:val="28"/>
  </w:num>
  <w:num w:numId="14">
    <w:abstractNumId w:val="32"/>
  </w:num>
  <w:num w:numId="15">
    <w:abstractNumId w:val="18"/>
  </w:num>
  <w:num w:numId="16">
    <w:abstractNumId w:val="27"/>
  </w:num>
  <w:num w:numId="17">
    <w:abstractNumId w:val="39"/>
  </w:num>
  <w:num w:numId="18">
    <w:abstractNumId w:val="24"/>
  </w:num>
  <w:num w:numId="19">
    <w:abstractNumId w:val="11"/>
  </w:num>
  <w:num w:numId="20">
    <w:abstractNumId w:val="7"/>
  </w:num>
  <w:num w:numId="21">
    <w:abstractNumId w:val="15"/>
  </w:num>
  <w:num w:numId="22">
    <w:abstractNumId w:val="20"/>
  </w:num>
  <w:num w:numId="23">
    <w:abstractNumId w:val="8"/>
  </w:num>
  <w:num w:numId="24">
    <w:abstractNumId w:val="17"/>
  </w:num>
  <w:num w:numId="25">
    <w:abstractNumId w:val="30"/>
  </w:num>
  <w:num w:numId="26">
    <w:abstractNumId w:val="12"/>
  </w:num>
  <w:num w:numId="27">
    <w:abstractNumId w:val="23"/>
  </w:num>
  <w:num w:numId="28">
    <w:abstractNumId w:val="5"/>
  </w:num>
  <w:num w:numId="29">
    <w:abstractNumId w:val="4"/>
  </w:num>
  <w:num w:numId="30">
    <w:abstractNumId w:val="14"/>
  </w:num>
  <w:num w:numId="31">
    <w:abstractNumId w:val="38"/>
  </w:num>
  <w:num w:numId="32">
    <w:abstractNumId w:val="44"/>
  </w:num>
  <w:num w:numId="33">
    <w:abstractNumId w:val="36"/>
  </w:num>
  <w:num w:numId="34">
    <w:abstractNumId w:val="33"/>
  </w:num>
  <w:num w:numId="35">
    <w:abstractNumId w:val="34"/>
  </w:num>
  <w:num w:numId="36">
    <w:abstractNumId w:val="26"/>
  </w:num>
  <w:num w:numId="37">
    <w:abstractNumId w:val="37"/>
  </w:num>
  <w:num w:numId="38">
    <w:abstractNumId w:val="2"/>
  </w:num>
  <w:num w:numId="39">
    <w:abstractNumId w:val="22"/>
  </w:num>
  <w:num w:numId="40">
    <w:abstractNumId w:val="16"/>
  </w:num>
  <w:num w:numId="41">
    <w:abstractNumId w:val="46"/>
  </w:num>
  <w:num w:numId="42">
    <w:abstractNumId w:val="40"/>
  </w:num>
  <w:num w:numId="43">
    <w:abstractNumId w:val="31"/>
  </w:num>
  <w:num w:numId="44">
    <w:abstractNumId w:val="13"/>
  </w:num>
  <w:num w:numId="45">
    <w:abstractNumId w:val="1"/>
  </w:num>
  <w:num w:numId="46">
    <w:abstractNumId w:val="4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1A"/>
    <w:rsid w:val="00004404"/>
    <w:rsid w:val="000116E9"/>
    <w:rsid w:val="000147C6"/>
    <w:rsid w:val="00051966"/>
    <w:rsid w:val="00063CA4"/>
    <w:rsid w:val="000754F6"/>
    <w:rsid w:val="000B545E"/>
    <w:rsid w:val="000C1A1A"/>
    <w:rsid w:val="000D1560"/>
    <w:rsid w:val="000D64CF"/>
    <w:rsid w:val="000F095E"/>
    <w:rsid w:val="00124F4D"/>
    <w:rsid w:val="00151A05"/>
    <w:rsid w:val="00151C2F"/>
    <w:rsid w:val="0015276C"/>
    <w:rsid w:val="00152FED"/>
    <w:rsid w:val="00153F08"/>
    <w:rsid w:val="0018366C"/>
    <w:rsid w:val="001A32FA"/>
    <w:rsid w:val="001E583A"/>
    <w:rsid w:val="0020030A"/>
    <w:rsid w:val="00205171"/>
    <w:rsid w:val="00245E05"/>
    <w:rsid w:val="0024695E"/>
    <w:rsid w:val="002531AF"/>
    <w:rsid w:val="00284E92"/>
    <w:rsid w:val="00291E45"/>
    <w:rsid w:val="00293290"/>
    <w:rsid w:val="002D18A8"/>
    <w:rsid w:val="002D413F"/>
    <w:rsid w:val="002D7800"/>
    <w:rsid w:val="002E5C96"/>
    <w:rsid w:val="002F650B"/>
    <w:rsid w:val="003011F1"/>
    <w:rsid w:val="00302E10"/>
    <w:rsid w:val="00332F28"/>
    <w:rsid w:val="003370C6"/>
    <w:rsid w:val="0035545B"/>
    <w:rsid w:val="003F18D5"/>
    <w:rsid w:val="0040223E"/>
    <w:rsid w:val="00402829"/>
    <w:rsid w:val="0042692D"/>
    <w:rsid w:val="004473C5"/>
    <w:rsid w:val="00453BD8"/>
    <w:rsid w:val="0045450B"/>
    <w:rsid w:val="00464619"/>
    <w:rsid w:val="00470504"/>
    <w:rsid w:val="00493243"/>
    <w:rsid w:val="004A561C"/>
    <w:rsid w:val="004B0E03"/>
    <w:rsid w:val="004B5BB6"/>
    <w:rsid w:val="004C3866"/>
    <w:rsid w:val="004C3BEC"/>
    <w:rsid w:val="004D0B2A"/>
    <w:rsid w:val="004D27D0"/>
    <w:rsid w:val="004D2B20"/>
    <w:rsid w:val="004D4633"/>
    <w:rsid w:val="00503DE8"/>
    <w:rsid w:val="00504D4F"/>
    <w:rsid w:val="00525B87"/>
    <w:rsid w:val="005303EF"/>
    <w:rsid w:val="00552841"/>
    <w:rsid w:val="00571BEE"/>
    <w:rsid w:val="005801BF"/>
    <w:rsid w:val="00594092"/>
    <w:rsid w:val="005A73A8"/>
    <w:rsid w:val="005C1FEB"/>
    <w:rsid w:val="005D6213"/>
    <w:rsid w:val="00626795"/>
    <w:rsid w:val="006433A3"/>
    <w:rsid w:val="00654933"/>
    <w:rsid w:val="00655FEC"/>
    <w:rsid w:val="00662208"/>
    <w:rsid w:val="00666840"/>
    <w:rsid w:val="00670F3F"/>
    <w:rsid w:val="00680EFC"/>
    <w:rsid w:val="00685D0A"/>
    <w:rsid w:val="00692C1C"/>
    <w:rsid w:val="006976D5"/>
    <w:rsid w:val="006A5683"/>
    <w:rsid w:val="006A6C48"/>
    <w:rsid w:val="006B65FC"/>
    <w:rsid w:val="006C0B63"/>
    <w:rsid w:val="006C441D"/>
    <w:rsid w:val="006E3AB7"/>
    <w:rsid w:val="006F6F1B"/>
    <w:rsid w:val="007033D3"/>
    <w:rsid w:val="00716B93"/>
    <w:rsid w:val="00717909"/>
    <w:rsid w:val="0072739F"/>
    <w:rsid w:val="007305B4"/>
    <w:rsid w:val="0074339C"/>
    <w:rsid w:val="0074371A"/>
    <w:rsid w:val="00780767"/>
    <w:rsid w:val="007B4C8A"/>
    <w:rsid w:val="007B4C96"/>
    <w:rsid w:val="007D1429"/>
    <w:rsid w:val="007D25B6"/>
    <w:rsid w:val="007D62F2"/>
    <w:rsid w:val="007F72C0"/>
    <w:rsid w:val="00814871"/>
    <w:rsid w:val="00847EAC"/>
    <w:rsid w:val="0088359A"/>
    <w:rsid w:val="00897A4C"/>
    <w:rsid w:val="008A3779"/>
    <w:rsid w:val="008A5D2B"/>
    <w:rsid w:val="008A68AB"/>
    <w:rsid w:val="008A6B0A"/>
    <w:rsid w:val="008C17B9"/>
    <w:rsid w:val="008F2B25"/>
    <w:rsid w:val="008F5AA6"/>
    <w:rsid w:val="0091520F"/>
    <w:rsid w:val="00915843"/>
    <w:rsid w:val="00926302"/>
    <w:rsid w:val="00952BCD"/>
    <w:rsid w:val="00956BB3"/>
    <w:rsid w:val="00964AD2"/>
    <w:rsid w:val="00970591"/>
    <w:rsid w:val="00974F32"/>
    <w:rsid w:val="0098622D"/>
    <w:rsid w:val="0098703F"/>
    <w:rsid w:val="009A41FB"/>
    <w:rsid w:val="009B508F"/>
    <w:rsid w:val="009D35A8"/>
    <w:rsid w:val="009E0D86"/>
    <w:rsid w:val="00A31558"/>
    <w:rsid w:val="00A4098C"/>
    <w:rsid w:val="00A445ED"/>
    <w:rsid w:val="00A72A1A"/>
    <w:rsid w:val="00AE725F"/>
    <w:rsid w:val="00AF26EC"/>
    <w:rsid w:val="00B01348"/>
    <w:rsid w:val="00B20B13"/>
    <w:rsid w:val="00B22236"/>
    <w:rsid w:val="00B237CA"/>
    <w:rsid w:val="00B451F6"/>
    <w:rsid w:val="00BB54DB"/>
    <w:rsid w:val="00BC11C0"/>
    <w:rsid w:val="00BF3134"/>
    <w:rsid w:val="00C151C3"/>
    <w:rsid w:val="00C37F6A"/>
    <w:rsid w:val="00C51EF3"/>
    <w:rsid w:val="00C63D06"/>
    <w:rsid w:val="00C6505C"/>
    <w:rsid w:val="00CB24F8"/>
    <w:rsid w:val="00CB26B2"/>
    <w:rsid w:val="00CB4975"/>
    <w:rsid w:val="00CC3B5B"/>
    <w:rsid w:val="00CC4138"/>
    <w:rsid w:val="00CF309A"/>
    <w:rsid w:val="00D10E4B"/>
    <w:rsid w:val="00D32261"/>
    <w:rsid w:val="00D44505"/>
    <w:rsid w:val="00D4512C"/>
    <w:rsid w:val="00D6104E"/>
    <w:rsid w:val="00D624AF"/>
    <w:rsid w:val="00D903C6"/>
    <w:rsid w:val="00DB62BD"/>
    <w:rsid w:val="00DE0ADE"/>
    <w:rsid w:val="00DF39BA"/>
    <w:rsid w:val="00E17635"/>
    <w:rsid w:val="00E351CA"/>
    <w:rsid w:val="00E462E9"/>
    <w:rsid w:val="00E51D3F"/>
    <w:rsid w:val="00E72360"/>
    <w:rsid w:val="00E810DF"/>
    <w:rsid w:val="00E844EE"/>
    <w:rsid w:val="00E9089F"/>
    <w:rsid w:val="00E97808"/>
    <w:rsid w:val="00EB3D4C"/>
    <w:rsid w:val="00EC3947"/>
    <w:rsid w:val="00EE62FD"/>
    <w:rsid w:val="00EF1DE2"/>
    <w:rsid w:val="00EF1FC1"/>
    <w:rsid w:val="00EF6A4A"/>
    <w:rsid w:val="00EF773A"/>
    <w:rsid w:val="00F14D3A"/>
    <w:rsid w:val="00F24813"/>
    <w:rsid w:val="00F33C5F"/>
    <w:rsid w:val="00F53EB9"/>
    <w:rsid w:val="00F5631E"/>
    <w:rsid w:val="00F71039"/>
    <w:rsid w:val="00F86FA4"/>
    <w:rsid w:val="00F901A8"/>
    <w:rsid w:val="00F96335"/>
    <w:rsid w:val="00FA5671"/>
    <w:rsid w:val="00FC4ADC"/>
    <w:rsid w:val="00FD03C8"/>
    <w:rsid w:val="00FF1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6335"/>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6335"/>
    <w:pPr>
      <w:tabs>
        <w:tab w:val="center" w:pos="4703"/>
        <w:tab w:val="right" w:pos="9406"/>
      </w:tabs>
      <w:spacing w:after="0" w:line="240" w:lineRule="auto"/>
    </w:pPr>
    <w:rPr>
      <w:rFonts w:eastAsia="Calibri"/>
    </w:rPr>
  </w:style>
  <w:style w:type="character" w:customStyle="1" w:styleId="NagwekZnak">
    <w:name w:val="Nagłówek Znak"/>
    <w:basedOn w:val="Domylnaczcionkaakapitu"/>
    <w:link w:val="Nagwek"/>
    <w:uiPriority w:val="99"/>
    <w:rsid w:val="00F96335"/>
    <w:rPr>
      <w:rFonts w:ascii="Calibri" w:eastAsia="Calibri" w:hAnsi="Calibri" w:cs="Times New Roman"/>
    </w:rPr>
  </w:style>
  <w:style w:type="paragraph" w:styleId="NormalnyWeb">
    <w:name w:val="Normal (Web)"/>
    <w:basedOn w:val="Normalny"/>
    <w:rsid w:val="00F96335"/>
    <w:pPr>
      <w:spacing w:before="100" w:beforeAutospacing="1" w:after="100" w:afterAutospacing="1" w:line="240" w:lineRule="auto"/>
    </w:pPr>
    <w:rPr>
      <w:rFonts w:ascii="Times New Roman" w:eastAsia="Batang" w:hAnsi="Times New Roman"/>
      <w:sz w:val="24"/>
      <w:szCs w:val="24"/>
      <w:lang w:eastAsia="ko-KR"/>
    </w:rPr>
  </w:style>
  <w:style w:type="paragraph" w:styleId="Tekstpodstawowywcity2">
    <w:name w:val="Body Text Indent 2"/>
    <w:basedOn w:val="Normalny"/>
    <w:link w:val="Tekstpodstawowywcity2Znak"/>
    <w:rsid w:val="00F96335"/>
    <w:pPr>
      <w:spacing w:after="0" w:line="360" w:lineRule="auto"/>
      <w:ind w:firstLine="708"/>
      <w:jc w:val="both"/>
    </w:pPr>
    <w:rPr>
      <w:rFonts w:ascii="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F9633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F96335"/>
    <w:pPr>
      <w:spacing w:after="0" w:line="240" w:lineRule="auto"/>
    </w:pPr>
    <w:rPr>
      <w:rFonts w:ascii="Times New Roman" w:hAnsi="Times New Roman"/>
      <w:szCs w:val="20"/>
      <w:lang w:eastAsia="pl-PL"/>
    </w:rPr>
  </w:style>
  <w:style w:type="character" w:customStyle="1" w:styleId="TekstpodstawowyZnak">
    <w:name w:val="Tekst podstawowy Znak"/>
    <w:basedOn w:val="Domylnaczcionkaakapitu"/>
    <w:link w:val="Tekstpodstawowy"/>
    <w:rsid w:val="00F96335"/>
    <w:rPr>
      <w:rFonts w:ascii="Times New Roman" w:eastAsia="Times New Roman" w:hAnsi="Times New Roman" w:cs="Times New Roman"/>
      <w:szCs w:val="20"/>
      <w:lang w:eastAsia="pl-PL"/>
    </w:rPr>
  </w:style>
  <w:style w:type="paragraph" w:customStyle="1" w:styleId="Normalny1">
    <w:name w:val="Normalny1"/>
    <w:basedOn w:val="Normalny"/>
    <w:rsid w:val="00F96335"/>
    <w:pPr>
      <w:spacing w:before="120" w:after="0" w:line="240" w:lineRule="auto"/>
      <w:jc w:val="both"/>
    </w:pPr>
    <w:rPr>
      <w:rFonts w:ascii="Times New Roman" w:hAnsi="Times New Roman"/>
      <w:sz w:val="24"/>
      <w:szCs w:val="24"/>
      <w:lang w:eastAsia="pl-PL"/>
    </w:rPr>
  </w:style>
  <w:style w:type="paragraph" w:styleId="Stopka">
    <w:name w:val="footer"/>
    <w:basedOn w:val="Normalny"/>
    <w:link w:val="StopkaZnak"/>
    <w:uiPriority w:val="99"/>
    <w:unhideWhenUsed/>
    <w:rsid w:val="006622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2208"/>
    <w:rPr>
      <w:rFonts w:ascii="Calibri" w:eastAsia="Times New Roman" w:hAnsi="Calibri" w:cs="Times New Roman"/>
    </w:rPr>
  </w:style>
  <w:style w:type="paragraph" w:styleId="Tekstdymka">
    <w:name w:val="Balloon Text"/>
    <w:basedOn w:val="Normalny"/>
    <w:link w:val="TekstdymkaZnak"/>
    <w:uiPriority w:val="99"/>
    <w:semiHidden/>
    <w:unhideWhenUsed/>
    <w:rsid w:val="00151C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1C2F"/>
    <w:rPr>
      <w:rFonts w:ascii="Tahoma" w:eastAsia="Times New Roman" w:hAnsi="Tahoma" w:cs="Tahoma"/>
      <w:sz w:val="16"/>
      <w:szCs w:val="16"/>
    </w:rPr>
  </w:style>
  <w:style w:type="paragraph" w:styleId="Akapitzlist">
    <w:name w:val="List Paragraph"/>
    <w:basedOn w:val="Normalny"/>
    <w:uiPriority w:val="34"/>
    <w:qFormat/>
    <w:rsid w:val="004D2B20"/>
    <w:pPr>
      <w:ind w:left="720"/>
      <w:contextualSpacing/>
    </w:pPr>
  </w:style>
  <w:style w:type="paragraph" w:styleId="Tekstprzypisudolnego">
    <w:name w:val="footnote text"/>
    <w:basedOn w:val="Normalny"/>
    <w:link w:val="TekstprzypisudolnegoZnak"/>
    <w:semiHidden/>
    <w:rsid w:val="008F5AA6"/>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8F5AA6"/>
    <w:rPr>
      <w:rFonts w:ascii="Times New Roman" w:eastAsia="Times New Roman" w:hAnsi="Times New Roman" w:cs="Times New Roman"/>
      <w:sz w:val="20"/>
      <w:szCs w:val="20"/>
      <w:lang w:eastAsia="pl-PL"/>
    </w:rPr>
  </w:style>
  <w:style w:type="character" w:styleId="Odwoanieprzypisudolnego">
    <w:name w:val="footnote reference"/>
    <w:semiHidden/>
    <w:rsid w:val="008F5AA6"/>
    <w:rPr>
      <w:vertAlign w:val="superscript"/>
    </w:rPr>
  </w:style>
  <w:style w:type="character" w:styleId="Uwydatnienie">
    <w:name w:val="Emphasis"/>
    <w:basedOn w:val="Domylnaczcionkaakapitu"/>
    <w:uiPriority w:val="20"/>
    <w:qFormat/>
    <w:rsid w:val="00D4512C"/>
    <w:rPr>
      <w:i/>
      <w:iCs/>
    </w:rPr>
  </w:style>
  <w:style w:type="character" w:styleId="Hipercze">
    <w:name w:val="Hyperlink"/>
    <w:basedOn w:val="Domylnaczcionkaakapitu"/>
    <w:uiPriority w:val="99"/>
    <w:unhideWhenUsed/>
    <w:rsid w:val="00D4512C"/>
    <w:rPr>
      <w:color w:val="0000FF"/>
      <w:u w:val="single"/>
    </w:rPr>
  </w:style>
  <w:style w:type="character" w:styleId="UyteHipercze">
    <w:name w:val="FollowedHyperlink"/>
    <w:basedOn w:val="Domylnaczcionkaakapitu"/>
    <w:uiPriority w:val="99"/>
    <w:semiHidden/>
    <w:unhideWhenUsed/>
    <w:rsid w:val="00655FEC"/>
    <w:rPr>
      <w:color w:val="800080" w:themeColor="followedHyperlink"/>
      <w:u w:val="single"/>
    </w:rPr>
  </w:style>
  <w:style w:type="character" w:styleId="Odwoaniedokomentarza">
    <w:name w:val="annotation reference"/>
    <w:basedOn w:val="Domylnaczcionkaakapitu"/>
    <w:uiPriority w:val="99"/>
    <w:semiHidden/>
    <w:unhideWhenUsed/>
    <w:rsid w:val="00670F3F"/>
    <w:rPr>
      <w:sz w:val="16"/>
      <w:szCs w:val="16"/>
    </w:rPr>
  </w:style>
  <w:style w:type="paragraph" w:styleId="Tekstkomentarza">
    <w:name w:val="annotation text"/>
    <w:basedOn w:val="Normalny"/>
    <w:link w:val="TekstkomentarzaZnak"/>
    <w:uiPriority w:val="99"/>
    <w:semiHidden/>
    <w:unhideWhenUsed/>
    <w:rsid w:val="00670F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0F3F"/>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70F3F"/>
    <w:rPr>
      <w:b/>
      <w:bCs/>
    </w:rPr>
  </w:style>
  <w:style w:type="character" w:customStyle="1" w:styleId="TematkomentarzaZnak">
    <w:name w:val="Temat komentarza Znak"/>
    <w:basedOn w:val="TekstkomentarzaZnak"/>
    <w:link w:val="Tematkomentarza"/>
    <w:uiPriority w:val="99"/>
    <w:semiHidden/>
    <w:rsid w:val="00670F3F"/>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6335"/>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6335"/>
    <w:pPr>
      <w:tabs>
        <w:tab w:val="center" w:pos="4703"/>
        <w:tab w:val="right" w:pos="9406"/>
      </w:tabs>
      <w:spacing w:after="0" w:line="240" w:lineRule="auto"/>
    </w:pPr>
    <w:rPr>
      <w:rFonts w:eastAsia="Calibri"/>
    </w:rPr>
  </w:style>
  <w:style w:type="character" w:customStyle="1" w:styleId="NagwekZnak">
    <w:name w:val="Nagłówek Znak"/>
    <w:basedOn w:val="Domylnaczcionkaakapitu"/>
    <w:link w:val="Nagwek"/>
    <w:uiPriority w:val="99"/>
    <w:rsid w:val="00F96335"/>
    <w:rPr>
      <w:rFonts w:ascii="Calibri" w:eastAsia="Calibri" w:hAnsi="Calibri" w:cs="Times New Roman"/>
    </w:rPr>
  </w:style>
  <w:style w:type="paragraph" w:styleId="NormalnyWeb">
    <w:name w:val="Normal (Web)"/>
    <w:basedOn w:val="Normalny"/>
    <w:rsid w:val="00F96335"/>
    <w:pPr>
      <w:spacing w:before="100" w:beforeAutospacing="1" w:after="100" w:afterAutospacing="1" w:line="240" w:lineRule="auto"/>
    </w:pPr>
    <w:rPr>
      <w:rFonts w:ascii="Times New Roman" w:eastAsia="Batang" w:hAnsi="Times New Roman"/>
      <w:sz w:val="24"/>
      <w:szCs w:val="24"/>
      <w:lang w:eastAsia="ko-KR"/>
    </w:rPr>
  </w:style>
  <w:style w:type="paragraph" w:styleId="Tekstpodstawowywcity2">
    <w:name w:val="Body Text Indent 2"/>
    <w:basedOn w:val="Normalny"/>
    <w:link w:val="Tekstpodstawowywcity2Znak"/>
    <w:rsid w:val="00F96335"/>
    <w:pPr>
      <w:spacing w:after="0" w:line="360" w:lineRule="auto"/>
      <w:ind w:firstLine="708"/>
      <w:jc w:val="both"/>
    </w:pPr>
    <w:rPr>
      <w:rFonts w:ascii="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F9633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F96335"/>
    <w:pPr>
      <w:spacing w:after="0" w:line="240" w:lineRule="auto"/>
    </w:pPr>
    <w:rPr>
      <w:rFonts w:ascii="Times New Roman" w:hAnsi="Times New Roman"/>
      <w:szCs w:val="20"/>
      <w:lang w:eastAsia="pl-PL"/>
    </w:rPr>
  </w:style>
  <w:style w:type="character" w:customStyle="1" w:styleId="TekstpodstawowyZnak">
    <w:name w:val="Tekst podstawowy Znak"/>
    <w:basedOn w:val="Domylnaczcionkaakapitu"/>
    <w:link w:val="Tekstpodstawowy"/>
    <w:rsid w:val="00F96335"/>
    <w:rPr>
      <w:rFonts w:ascii="Times New Roman" w:eastAsia="Times New Roman" w:hAnsi="Times New Roman" w:cs="Times New Roman"/>
      <w:szCs w:val="20"/>
      <w:lang w:eastAsia="pl-PL"/>
    </w:rPr>
  </w:style>
  <w:style w:type="paragraph" w:customStyle="1" w:styleId="Normalny1">
    <w:name w:val="Normalny1"/>
    <w:basedOn w:val="Normalny"/>
    <w:rsid w:val="00F96335"/>
    <w:pPr>
      <w:spacing w:before="120" w:after="0" w:line="240" w:lineRule="auto"/>
      <w:jc w:val="both"/>
    </w:pPr>
    <w:rPr>
      <w:rFonts w:ascii="Times New Roman" w:hAnsi="Times New Roman"/>
      <w:sz w:val="24"/>
      <w:szCs w:val="24"/>
      <w:lang w:eastAsia="pl-PL"/>
    </w:rPr>
  </w:style>
  <w:style w:type="paragraph" w:styleId="Stopka">
    <w:name w:val="footer"/>
    <w:basedOn w:val="Normalny"/>
    <w:link w:val="StopkaZnak"/>
    <w:uiPriority w:val="99"/>
    <w:unhideWhenUsed/>
    <w:rsid w:val="006622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2208"/>
    <w:rPr>
      <w:rFonts w:ascii="Calibri" w:eastAsia="Times New Roman" w:hAnsi="Calibri" w:cs="Times New Roman"/>
    </w:rPr>
  </w:style>
  <w:style w:type="paragraph" w:styleId="Tekstdymka">
    <w:name w:val="Balloon Text"/>
    <w:basedOn w:val="Normalny"/>
    <w:link w:val="TekstdymkaZnak"/>
    <w:uiPriority w:val="99"/>
    <w:semiHidden/>
    <w:unhideWhenUsed/>
    <w:rsid w:val="00151C2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1C2F"/>
    <w:rPr>
      <w:rFonts w:ascii="Tahoma" w:eastAsia="Times New Roman" w:hAnsi="Tahoma" w:cs="Tahoma"/>
      <w:sz w:val="16"/>
      <w:szCs w:val="16"/>
    </w:rPr>
  </w:style>
  <w:style w:type="paragraph" w:styleId="Akapitzlist">
    <w:name w:val="List Paragraph"/>
    <w:basedOn w:val="Normalny"/>
    <w:uiPriority w:val="34"/>
    <w:qFormat/>
    <w:rsid w:val="004D2B20"/>
    <w:pPr>
      <w:ind w:left="720"/>
      <w:contextualSpacing/>
    </w:pPr>
  </w:style>
  <w:style w:type="paragraph" w:styleId="Tekstprzypisudolnego">
    <w:name w:val="footnote text"/>
    <w:basedOn w:val="Normalny"/>
    <w:link w:val="TekstprzypisudolnegoZnak"/>
    <w:semiHidden/>
    <w:rsid w:val="008F5AA6"/>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8F5AA6"/>
    <w:rPr>
      <w:rFonts w:ascii="Times New Roman" w:eastAsia="Times New Roman" w:hAnsi="Times New Roman" w:cs="Times New Roman"/>
      <w:sz w:val="20"/>
      <w:szCs w:val="20"/>
      <w:lang w:eastAsia="pl-PL"/>
    </w:rPr>
  </w:style>
  <w:style w:type="character" w:styleId="Odwoanieprzypisudolnego">
    <w:name w:val="footnote reference"/>
    <w:semiHidden/>
    <w:rsid w:val="008F5AA6"/>
    <w:rPr>
      <w:vertAlign w:val="superscript"/>
    </w:rPr>
  </w:style>
  <w:style w:type="character" w:styleId="Uwydatnienie">
    <w:name w:val="Emphasis"/>
    <w:basedOn w:val="Domylnaczcionkaakapitu"/>
    <w:uiPriority w:val="20"/>
    <w:qFormat/>
    <w:rsid w:val="00D4512C"/>
    <w:rPr>
      <w:i/>
      <w:iCs/>
    </w:rPr>
  </w:style>
  <w:style w:type="character" w:styleId="Hipercze">
    <w:name w:val="Hyperlink"/>
    <w:basedOn w:val="Domylnaczcionkaakapitu"/>
    <w:uiPriority w:val="99"/>
    <w:unhideWhenUsed/>
    <w:rsid w:val="00D4512C"/>
    <w:rPr>
      <w:color w:val="0000FF"/>
      <w:u w:val="single"/>
    </w:rPr>
  </w:style>
  <w:style w:type="character" w:styleId="UyteHipercze">
    <w:name w:val="FollowedHyperlink"/>
    <w:basedOn w:val="Domylnaczcionkaakapitu"/>
    <w:uiPriority w:val="99"/>
    <w:semiHidden/>
    <w:unhideWhenUsed/>
    <w:rsid w:val="00655FEC"/>
    <w:rPr>
      <w:color w:val="800080" w:themeColor="followedHyperlink"/>
      <w:u w:val="single"/>
    </w:rPr>
  </w:style>
  <w:style w:type="character" w:styleId="Odwoaniedokomentarza">
    <w:name w:val="annotation reference"/>
    <w:basedOn w:val="Domylnaczcionkaakapitu"/>
    <w:uiPriority w:val="99"/>
    <w:semiHidden/>
    <w:unhideWhenUsed/>
    <w:rsid w:val="00670F3F"/>
    <w:rPr>
      <w:sz w:val="16"/>
      <w:szCs w:val="16"/>
    </w:rPr>
  </w:style>
  <w:style w:type="paragraph" w:styleId="Tekstkomentarza">
    <w:name w:val="annotation text"/>
    <w:basedOn w:val="Normalny"/>
    <w:link w:val="TekstkomentarzaZnak"/>
    <w:uiPriority w:val="99"/>
    <w:semiHidden/>
    <w:unhideWhenUsed/>
    <w:rsid w:val="00670F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0F3F"/>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70F3F"/>
    <w:rPr>
      <w:b/>
      <w:bCs/>
    </w:rPr>
  </w:style>
  <w:style w:type="character" w:customStyle="1" w:styleId="TematkomentarzaZnak">
    <w:name w:val="Temat komentarza Znak"/>
    <w:basedOn w:val="TekstkomentarzaZnak"/>
    <w:link w:val="Tematkomentarza"/>
    <w:uiPriority w:val="99"/>
    <w:semiHidden/>
    <w:rsid w:val="00670F3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19302">
      <w:bodyDiv w:val="1"/>
      <w:marLeft w:val="0"/>
      <w:marRight w:val="0"/>
      <w:marTop w:val="0"/>
      <w:marBottom w:val="0"/>
      <w:divBdr>
        <w:top w:val="none" w:sz="0" w:space="0" w:color="auto"/>
        <w:left w:val="none" w:sz="0" w:space="0" w:color="auto"/>
        <w:bottom w:val="none" w:sz="0" w:space="0" w:color="auto"/>
        <w:right w:val="none" w:sz="0" w:space="0" w:color="auto"/>
      </w:divBdr>
      <w:divsChild>
        <w:div w:id="1580094521">
          <w:marLeft w:val="0"/>
          <w:marRight w:val="0"/>
          <w:marTop w:val="0"/>
          <w:marBottom w:val="0"/>
          <w:divBdr>
            <w:top w:val="none" w:sz="0" w:space="0" w:color="auto"/>
            <w:left w:val="none" w:sz="0" w:space="0" w:color="auto"/>
            <w:bottom w:val="none" w:sz="0" w:space="0" w:color="auto"/>
            <w:right w:val="none" w:sz="0" w:space="0" w:color="auto"/>
          </w:divBdr>
        </w:div>
      </w:divsChild>
    </w:div>
    <w:div w:id="786434054">
      <w:bodyDiv w:val="1"/>
      <w:marLeft w:val="0"/>
      <w:marRight w:val="0"/>
      <w:marTop w:val="0"/>
      <w:marBottom w:val="0"/>
      <w:divBdr>
        <w:top w:val="none" w:sz="0" w:space="0" w:color="auto"/>
        <w:left w:val="none" w:sz="0" w:space="0" w:color="auto"/>
        <w:bottom w:val="none" w:sz="0" w:space="0" w:color="auto"/>
        <w:right w:val="none" w:sz="0" w:space="0" w:color="auto"/>
      </w:divBdr>
      <w:divsChild>
        <w:div w:id="798843985">
          <w:marLeft w:val="0"/>
          <w:marRight w:val="0"/>
          <w:marTop w:val="0"/>
          <w:marBottom w:val="0"/>
          <w:divBdr>
            <w:top w:val="none" w:sz="0" w:space="0" w:color="auto"/>
            <w:left w:val="none" w:sz="0" w:space="0" w:color="auto"/>
            <w:bottom w:val="none" w:sz="0" w:space="0" w:color="auto"/>
            <w:right w:val="none" w:sz="0" w:space="0" w:color="auto"/>
          </w:divBdr>
        </w:div>
        <w:div w:id="457770005">
          <w:marLeft w:val="0"/>
          <w:marRight w:val="0"/>
          <w:marTop w:val="0"/>
          <w:marBottom w:val="0"/>
          <w:divBdr>
            <w:top w:val="none" w:sz="0" w:space="0" w:color="auto"/>
            <w:left w:val="none" w:sz="0" w:space="0" w:color="auto"/>
            <w:bottom w:val="none" w:sz="0" w:space="0" w:color="auto"/>
            <w:right w:val="none" w:sz="0" w:space="0" w:color="auto"/>
          </w:divBdr>
        </w:div>
        <w:div w:id="643003715">
          <w:marLeft w:val="0"/>
          <w:marRight w:val="0"/>
          <w:marTop w:val="0"/>
          <w:marBottom w:val="0"/>
          <w:divBdr>
            <w:top w:val="none" w:sz="0" w:space="0" w:color="auto"/>
            <w:left w:val="none" w:sz="0" w:space="0" w:color="auto"/>
            <w:bottom w:val="none" w:sz="0" w:space="0" w:color="auto"/>
            <w:right w:val="none" w:sz="0" w:space="0" w:color="auto"/>
          </w:divBdr>
        </w:div>
        <w:div w:id="729812061">
          <w:marLeft w:val="0"/>
          <w:marRight w:val="0"/>
          <w:marTop w:val="0"/>
          <w:marBottom w:val="0"/>
          <w:divBdr>
            <w:top w:val="none" w:sz="0" w:space="0" w:color="auto"/>
            <w:left w:val="none" w:sz="0" w:space="0" w:color="auto"/>
            <w:bottom w:val="none" w:sz="0" w:space="0" w:color="auto"/>
            <w:right w:val="none" w:sz="0" w:space="0" w:color="auto"/>
          </w:divBdr>
        </w:div>
        <w:div w:id="166095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se.mf.gov.pl/clo/zgloszenia-celne-i-intrastat/zgloszenia-celne/komunika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esc.gov.pl/web/puesc/c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nanse.mf.gov.pl/clo/informacje-dla-przedsiebiorcow/aeo-i-uproszczenia-celne/ae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inanse.mf.gov.pl/clo/informacje-dla-przedsiebiorcow/wartosc-cel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56678-D173-4D40-8EEB-17693FEB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3125</Words>
  <Characters>18752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Misztela Mariusz</dc:creator>
  <cp:lastModifiedBy>Szarkowska Agnieszka</cp:lastModifiedBy>
  <cp:revision>4</cp:revision>
  <cp:lastPrinted>2017-04-07T08:48:00Z</cp:lastPrinted>
  <dcterms:created xsi:type="dcterms:W3CDTF">2018-04-05T14:19:00Z</dcterms:created>
  <dcterms:modified xsi:type="dcterms:W3CDTF">2018-04-06T07:20:00Z</dcterms:modified>
</cp:coreProperties>
</file>