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A65" w:rsidRPr="00D065EE" w:rsidRDefault="00AA5A65" w:rsidP="00AA5A65">
      <w:pPr>
        <w:spacing w:after="120" w:line="264" w:lineRule="auto"/>
        <w:ind w:right="26"/>
        <w:jc w:val="both"/>
        <w:rPr>
          <w:rFonts w:ascii="Times New Roman" w:hAnsi="Times New Roman"/>
          <w:b/>
        </w:rPr>
      </w:pPr>
      <w:r w:rsidRPr="00D065EE">
        <w:rPr>
          <w:rFonts w:ascii="Times New Roman" w:hAnsi="Times New Roman"/>
          <w:b/>
        </w:rPr>
        <w:t>201</w:t>
      </w:r>
      <w:r>
        <w:rPr>
          <w:rFonts w:ascii="Times New Roman" w:hAnsi="Times New Roman"/>
          <w:b/>
        </w:rPr>
        <w:t>7</w:t>
      </w:r>
      <w:r w:rsidRPr="00D065EE">
        <w:rPr>
          <w:rFonts w:ascii="Times New Roman" w:hAnsi="Times New Roman"/>
          <w:b/>
        </w:rPr>
        <w:t>.</w:t>
      </w:r>
      <w:r>
        <w:rPr>
          <w:rFonts w:ascii="Times New Roman" w:hAnsi="Times New Roman"/>
          <w:b/>
        </w:rPr>
        <w:t>10</w:t>
      </w:r>
      <w:r w:rsidRPr="00D065EE">
        <w:rPr>
          <w:rFonts w:ascii="Times New Roman" w:hAnsi="Times New Roman"/>
          <w:b/>
        </w:rPr>
        <w:t>.</w:t>
      </w:r>
      <w:r>
        <w:rPr>
          <w:rFonts w:ascii="Times New Roman" w:hAnsi="Times New Roman"/>
          <w:b/>
        </w:rPr>
        <w:t>04</w:t>
      </w:r>
    </w:p>
    <w:p w:rsidR="00AA5A65" w:rsidRPr="00D065EE" w:rsidRDefault="00AA5A65" w:rsidP="00AA5A65">
      <w:pPr>
        <w:autoSpaceDE w:val="0"/>
        <w:autoSpaceDN w:val="0"/>
        <w:adjustRightInd w:val="0"/>
        <w:jc w:val="both"/>
        <w:rPr>
          <w:rFonts w:ascii="Times New Roman" w:hAnsi="Times New Roman"/>
          <w:b/>
        </w:rPr>
      </w:pPr>
      <w:r w:rsidRPr="00D065EE">
        <w:rPr>
          <w:rFonts w:ascii="Times New Roman" w:eastAsiaTheme="minorHAnsi" w:hAnsi="Times New Roman"/>
          <w:b/>
          <w:bCs/>
        </w:rPr>
        <w:t xml:space="preserve">Informacja dotycząca </w:t>
      </w:r>
      <w:r>
        <w:rPr>
          <w:rFonts w:ascii="Times New Roman" w:eastAsiaTheme="minorHAnsi" w:hAnsi="Times New Roman"/>
          <w:b/>
          <w:bCs/>
        </w:rPr>
        <w:t xml:space="preserve">rozporządzenia Ministra </w:t>
      </w:r>
      <w:r>
        <w:rPr>
          <w:rFonts w:ascii="Times New Roman" w:eastAsiaTheme="minorHAnsi" w:hAnsi="Times New Roman"/>
          <w:b/>
          <w:bCs/>
        </w:rPr>
        <w:t xml:space="preserve">Rozwoju i </w:t>
      </w:r>
      <w:r>
        <w:rPr>
          <w:rFonts w:ascii="Times New Roman" w:eastAsiaTheme="minorHAnsi" w:hAnsi="Times New Roman"/>
          <w:b/>
          <w:bCs/>
        </w:rPr>
        <w:t xml:space="preserve">Finansów z dnia </w:t>
      </w:r>
      <w:r>
        <w:rPr>
          <w:rFonts w:ascii="Times New Roman" w:eastAsiaTheme="minorHAnsi" w:hAnsi="Times New Roman"/>
          <w:b/>
          <w:bCs/>
        </w:rPr>
        <w:t>13</w:t>
      </w:r>
      <w:r>
        <w:rPr>
          <w:rFonts w:ascii="Times New Roman" w:eastAsiaTheme="minorHAnsi" w:hAnsi="Times New Roman"/>
          <w:b/>
          <w:bCs/>
        </w:rPr>
        <w:t> września 201</w:t>
      </w:r>
      <w:r>
        <w:rPr>
          <w:rFonts w:ascii="Times New Roman" w:eastAsiaTheme="minorHAnsi" w:hAnsi="Times New Roman"/>
          <w:b/>
          <w:bCs/>
        </w:rPr>
        <w:t>7</w:t>
      </w:r>
      <w:r>
        <w:rPr>
          <w:rFonts w:ascii="Times New Roman" w:eastAsiaTheme="minorHAnsi" w:hAnsi="Times New Roman"/>
          <w:b/>
          <w:bCs/>
        </w:rPr>
        <w:t xml:space="preserve"> r. </w:t>
      </w:r>
      <w:r>
        <w:rPr>
          <w:rFonts w:ascii="Times New Roman" w:eastAsiaTheme="minorHAnsi" w:hAnsi="Times New Roman"/>
          <w:b/>
          <w:bCs/>
        </w:rPr>
        <w:t xml:space="preserve">zmieniającego rozporządzenie </w:t>
      </w:r>
      <w:r w:rsidRPr="00D065EE">
        <w:rPr>
          <w:rFonts w:ascii="Times New Roman" w:eastAsiaTheme="minorHAnsi" w:hAnsi="Times New Roman"/>
          <w:b/>
          <w:bCs/>
          <w:i/>
        </w:rPr>
        <w:t>w sprawie zgłoszeń celnych</w:t>
      </w:r>
      <w:r>
        <w:rPr>
          <w:rFonts w:ascii="Times New Roman" w:eastAsiaTheme="minorHAnsi" w:hAnsi="Times New Roman"/>
          <w:b/>
          <w:bCs/>
        </w:rPr>
        <w:t>.</w:t>
      </w:r>
    </w:p>
    <w:p w:rsidR="00AA5A65" w:rsidRDefault="00AA5A65" w:rsidP="00ED3B64">
      <w:pPr>
        <w:spacing w:after="120" w:line="264" w:lineRule="auto"/>
        <w:jc w:val="both"/>
        <w:rPr>
          <w:rFonts w:ascii="Times New Roman" w:hAnsi="Times New Roman"/>
        </w:rPr>
      </w:pPr>
    </w:p>
    <w:p w:rsidR="00ED3B64" w:rsidRPr="005A56D0" w:rsidRDefault="009A35DE" w:rsidP="00ED3B64">
      <w:pPr>
        <w:spacing w:after="120" w:line="264" w:lineRule="auto"/>
        <w:jc w:val="both"/>
        <w:rPr>
          <w:rFonts w:ascii="Times New Roman" w:hAnsi="Times New Roman"/>
        </w:rPr>
      </w:pPr>
      <w:r>
        <w:rPr>
          <w:rFonts w:ascii="Times New Roman" w:hAnsi="Times New Roman"/>
        </w:rPr>
        <w:t>Ministerstwo</w:t>
      </w:r>
      <w:r w:rsidR="00ED3B64" w:rsidRPr="005A56D0">
        <w:rPr>
          <w:rFonts w:ascii="Times New Roman" w:hAnsi="Times New Roman"/>
        </w:rPr>
        <w:t xml:space="preserve"> Finansów uprzejmie informuje, że w Dz. U. poz. 1806 opublikowane zostało rozporządzenie Ministra Rozwoju i F</w:t>
      </w:r>
      <w:r w:rsidR="00ED3B64">
        <w:rPr>
          <w:rFonts w:ascii="Times New Roman" w:hAnsi="Times New Roman"/>
        </w:rPr>
        <w:t>inansów z dnia 13 września 2017 </w:t>
      </w:r>
      <w:r w:rsidR="00ED3B64" w:rsidRPr="005A56D0">
        <w:rPr>
          <w:rFonts w:ascii="Times New Roman" w:hAnsi="Times New Roman"/>
        </w:rPr>
        <w:t xml:space="preserve">r. </w:t>
      </w:r>
      <w:r w:rsidR="00ED3B64" w:rsidRPr="009A35DE">
        <w:rPr>
          <w:rFonts w:ascii="Times New Roman" w:hAnsi="Times New Roman"/>
          <w:i/>
        </w:rPr>
        <w:t>zmieniające rozporządzenie w sprawie zgłoszeń celnych</w:t>
      </w:r>
      <w:r w:rsidR="00ED3B64">
        <w:rPr>
          <w:rFonts w:ascii="Times New Roman" w:hAnsi="Times New Roman"/>
        </w:rPr>
        <w:t xml:space="preserve">. </w:t>
      </w:r>
      <w:r w:rsidR="00ED3B64" w:rsidRPr="005A56D0">
        <w:rPr>
          <w:rFonts w:ascii="Times New Roman" w:hAnsi="Times New Roman"/>
        </w:rPr>
        <w:t xml:space="preserve">Rozporządzenie to wchodzi w życie </w:t>
      </w:r>
      <w:r w:rsidR="00ED3B64">
        <w:rPr>
          <w:rFonts w:ascii="Times New Roman" w:hAnsi="Times New Roman"/>
        </w:rPr>
        <w:t>z dniem</w:t>
      </w:r>
      <w:r w:rsidR="00ED3B64" w:rsidRPr="005A56D0">
        <w:rPr>
          <w:rFonts w:ascii="Times New Roman" w:hAnsi="Times New Roman"/>
        </w:rPr>
        <w:t xml:space="preserve"> 1</w:t>
      </w:r>
      <w:r w:rsidR="00ED3B64">
        <w:rPr>
          <w:rFonts w:ascii="Times New Roman" w:hAnsi="Times New Roman"/>
        </w:rPr>
        <w:t>4</w:t>
      </w:r>
      <w:r w:rsidR="00ED3B64" w:rsidRPr="005A56D0">
        <w:rPr>
          <w:rFonts w:ascii="Times New Roman" w:hAnsi="Times New Roman"/>
        </w:rPr>
        <w:t xml:space="preserve"> października 2017 r. </w:t>
      </w:r>
    </w:p>
    <w:p w:rsidR="00ED3B64" w:rsidRPr="005A56D0" w:rsidRDefault="00ED3B64" w:rsidP="00ED3B64">
      <w:pPr>
        <w:spacing w:after="120" w:line="264" w:lineRule="auto"/>
        <w:jc w:val="both"/>
        <w:rPr>
          <w:rFonts w:ascii="Times New Roman" w:hAnsi="Times New Roman"/>
        </w:rPr>
      </w:pPr>
      <w:r w:rsidRPr="005A56D0">
        <w:rPr>
          <w:rFonts w:ascii="Times New Roman" w:hAnsi="Times New Roman"/>
        </w:rPr>
        <w:t>Zmiany zawarte w ww. rozporządzeniu dotyczą:</w:t>
      </w:r>
    </w:p>
    <w:p w:rsidR="00ED3B64" w:rsidRPr="005A56D0" w:rsidRDefault="00ED3B64" w:rsidP="00ED3B64">
      <w:pPr>
        <w:pStyle w:val="Akapitzlist"/>
        <w:numPr>
          <w:ilvl w:val="0"/>
          <w:numId w:val="1"/>
        </w:numPr>
        <w:spacing w:after="120" w:line="264" w:lineRule="auto"/>
        <w:jc w:val="both"/>
        <w:rPr>
          <w:rFonts w:ascii="Times New Roman" w:hAnsi="Times New Roman"/>
        </w:rPr>
      </w:pPr>
      <w:r w:rsidRPr="005A56D0">
        <w:rPr>
          <w:rFonts w:ascii="Times New Roman" w:hAnsi="Times New Roman"/>
        </w:rPr>
        <w:t>wypełniania zgłoszenia w procedurze „76” - procedura składowania celnego w celu uzyskania refundacji (§ 1 w pkt 1),</w:t>
      </w:r>
    </w:p>
    <w:p w:rsidR="00ED3B64" w:rsidRPr="005A56D0" w:rsidRDefault="00ED3B64" w:rsidP="00ED3B64">
      <w:pPr>
        <w:pStyle w:val="Akapitzlist"/>
        <w:numPr>
          <w:ilvl w:val="0"/>
          <w:numId w:val="1"/>
        </w:numPr>
        <w:spacing w:after="120" w:line="264" w:lineRule="auto"/>
        <w:jc w:val="both"/>
        <w:rPr>
          <w:rFonts w:ascii="Times New Roman" w:hAnsi="Times New Roman"/>
        </w:rPr>
      </w:pPr>
      <w:r w:rsidRPr="005A56D0">
        <w:rPr>
          <w:rFonts w:ascii="Times New Roman" w:hAnsi="Times New Roman"/>
        </w:rPr>
        <w:t xml:space="preserve">operatora pocztowego innego niż operator wyznaczony - zmiana o charakterze sprostowania (§ 1 w pkt 2), </w:t>
      </w:r>
    </w:p>
    <w:p w:rsidR="00ED3B64" w:rsidRPr="005A56D0" w:rsidRDefault="00ED3B64" w:rsidP="00ED3B64">
      <w:pPr>
        <w:pStyle w:val="Akapitzlist"/>
        <w:numPr>
          <w:ilvl w:val="0"/>
          <w:numId w:val="1"/>
        </w:numPr>
        <w:spacing w:after="120" w:line="264" w:lineRule="auto"/>
        <w:jc w:val="both"/>
        <w:rPr>
          <w:rFonts w:ascii="Times New Roman" w:hAnsi="Times New Roman"/>
        </w:rPr>
      </w:pPr>
      <w:r w:rsidRPr="005A56D0">
        <w:rPr>
          <w:rFonts w:ascii="Times New Roman" w:hAnsi="Times New Roman"/>
        </w:rPr>
        <w:t>ujednolicenia sposobu ustalania ilości gazu ziemnego i energii elektrycznej podawan</w:t>
      </w:r>
      <w:r>
        <w:rPr>
          <w:rFonts w:ascii="Times New Roman" w:hAnsi="Times New Roman"/>
        </w:rPr>
        <w:t>ej</w:t>
      </w:r>
      <w:r w:rsidRPr="005A56D0">
        <w:rPr>
          <w:rFonts w:ascii="Times New Roman" w:hAnsi="Times New Roman"/>
        </w:rPr>
        <w:t xml:space="preserve"> w zgłoszeniu celnym (§ 1 w pkt 3-5),</w:t>
      </w:r>
    </w:p>
    <w:p w:rsidR="00ED3B64" w:rsidRPr="005A56D0" w:rsidRDefault="00ED3B64" w:rsidP="00ED3B64">
      <w:pPr>
        <w:pStyle w:val="Akapitzlist"/>
        <w:numPr>
          <w:ilvl w:val="0"/>
          <w:numId w:val="1"/>
        </w:numPr>
        <w:spacing w:after="120" w:line="264" w:lineRule="auto"/>
        <w:jc w:val="both"/>
        <w:rPr>
          <w:rFonts w:ascii="Times New Roman" w:hAnsi="Times New Roman"/>
        </w:rPr>
      </w:pPr>
      <w:r w:rsidRPr="005A56D0">
        <w:rPr>
          <w:rFonts w:ascii="Times New Roman" w:hAnsi="Times New Roman"/>
        </w:rPr>
        <w:t xml:space="preserve">dostosowania  do przepisów o Krajowej Administracji Skarbowej (§ 1 w pkt 6-7), </w:t>
      </w:r>
    </w:p>
    <w:p w:rsidR="00ED3B64" w:rsidRPr="005A56D0" w:rsidRDefault="00ED3B64" w:rsidP="00ED3B64">
      <w:pPr>
        <w:pStyle w:val="Akapitzlist"/>
        <w:numPr>
          <w:ilvl w:val="0"/>
          <w:numId w:val="1"/>
        </w:numPr>
        <w:spacing w:after="120" w:line="264" w:lineRule="auto"/>
        <w:jc w:val="both"/>
        <w:rPr>
          <w:rFonts w:ascii="Times New Roman" w:hAnsi="Times New Roman"/>
        </w:rPr>
      </w:pPr>
      <w:r w:rsidRPr="005A56D0">
        <w:rPr>
          <w:rFonts w:ascii="Times New Roman" w:hAnsi="Times New Roman"/>
        </w:rPr>
        <w:t>dostosowania do brzmienia przepisów unijnych – zmiana o charakterze korekty (§ 1 w pkt 8).</w:t>
      </w:r>
    </w:p>
    <w:p w:rsidR="00ED3B64" w:rsidRPr="005A56D0" w:rsidRDefault="00ED3B64" w:rsidP="00ED3B64">
      <w:pPr>
        <w:spacing w:after="120" w:line="264" w:lineRule="auto"/>
        <w:jc w:val="both"/>
        <w:rPr>
          <w:rFonts w:ascii="Times New Roman" w:hAnsi="Times New Roman"/>
        </w:rPr>
      </w:pPr>
    </w:p>
    <w:p w:rsidR="00ED3B64" w:rsidRPr="005A56D0" w:rsidRDefault="00ED3B64" w:rsidP="00ED3B64">
      <w:pPr>
        <w:spacing w:after="120" w:line="264" w:lineRule="auto"/>
        <w:jc w:val="both"/>
        <w:rPr>
          <w:rFonts w:ascii="Times New Roman" w:hAnsi="Times New Roman"/>
          <w:color w:val="000000"/>
        </w:rPr>
      </w:pPr>
      <w:r w:rsidRPr="005A56D0">
        <w:rPr>
          <w:rFonts w:ascii="Times New Roman" w:hAnsi="Times New Roman"/>
          <w:b/>
        </w:rPr>
        <w:t>Ad 1.</w:t>
      </w:r>
      <w:r w:rsidRPr="005A56D0">
        <w:rPr>
          <w:rFonts w:ascii="Times New Roman" w:hAnsi="Times New Roman"/>
        </w:rPr>
        <w:t xml:space="preserve"> Zmiana zawarta w </w:t>
      </w:r>
      <w:r w:rsidRPr="005A56D0">
        <w:rPr>
          <w:rFonts w:ascii="Times New Roman" w:eastAsia="Times New Roman" w:hAnsi="Times New Roman"/>
        </w:rPr>
        <w:t xml:space="preserve">§ 1 pkt 1 dotyczy zmiany zakresu danych określonych w </w:t>
      </w:r>
      <w:r w:rsidRPr="005A56D0">
        <w:rPr>
          <w:rFonts w:ascii="Times New Roman" w:hAnsi="Times New Roman"/>
        </w:rPr>
        <w:t>§ 5 pkt </w:t>
      </w:r>
      <w:r>
        <w:rPr>
          <w:rFonts w:ascii="Times New Roman" w:hAnsi="Times New Roman"/>
        </w:rPr>
        <w:t>2 zmienio</w:t>
      </w:r>
      <w:r w:rsidRPr="005A56D0">
        <w:rPr>
          <w:rFonts w:ascii="Times New Roman" w:hAnsi="Times New Roman"/>
        </w:rPr>
        <w:t xml:space="preserve">nego rozporządzenia przewidzianego dla </w:t>
      </w:r>
      <w:r w:rsidRPr="005A56D0">
        <w:rPr>
          <w:rFonts w:ascii="Times New Roman" w:eastAsia="Times New Roman" w:hAnsi="Times New Roman"/>
        </w:rPr>
        <w:t xml:space="preserve">kodu procedury „76” podawanej przy obejmowaniu </w:t>
      </w:r>
      <w:r w:rsidRPr="005A56D0">
        <w:rPr>
          <w:rFonts w:ascii="Times New Roman" w:hAnsi="Times New Roman"/>
        </w:rPr>
        <w:t xml:space="preserve">towarów procedurą składowania celnego w celu uzyskania wypłaty specjalnych refundacji wywozowych przed wywozem. Kody procedur określone są w wykazie dla pola 37 formularza dokumentu SAD, zawartym w  tytule II dodatku D1 załącznika 9 do rozporządzenia delegowanego Komisji (UE) 2016/341 z dnia 17 grudnia 2015 r. uzupełniającego rozporządzenie Parlamentu Europejskiego i Rady (UE) nr 952/2013 w odniesieniu do przepisów przejściowych dotyczących niektórych przepisów unijnego kodeksu celnego w okresie, gdy nie działają jeszcze odpowiednie systemy teleinformatyczne, i zmieniające rozporządzenie delegowane Komisji (UE) 2015/2446 (Dz. Urz. UE L 69 z 15.03.2016, str. 1, z </w:t>
      </w:r>
      <w:proofErr w:type="spellStart"/>
      <w:r w:rsidRPr="005A56D0">
        <w:rPr>
          <w:rFonts w:ascii="Times New Roman" w:hAnsi="Times New Roman"/>
        </w:rPr>
        <w:t>późn</w:t>
      </w:r>
      <w:proofErr w:type="spellEnd"/>
      <w:r w:rsidRPr="005A56D0">
        <w:rPr>
          <w:rFonts w:ascii="Times New Roman" w:hAnsi="Times New Roman"/>
        </w:rPr>
        <w:t>. zm.</w:t>
      </w:r>
      <w:r w:rsidRPr="005A56D0">
        <w:rPr>
          <w:rStyle w:val="Odwoanieprzypisudolnego"/>
          <w:rFonts w:ascii="Times New Roman" w:hAnsi="Times New Roman"/>
        </w:rPr>
        <w:footnoteReference w:id="1"/>
      </w:r>
      <w:r w:rsidRPr="005A56D0">
        <w:rPr>
          <w:rFonts w:ascii="Times New Roman" w:hAnsi="Times New Roman"/>
        </w:rPr>
        <w:t xml:space="preserve">), zwanego dalej „przejściowym rozporządzeniem delegowanym”. W dodatku C1 oraz w dodatku D1 załącznika 9 do przejściowego rozporządzenia delegowanego zostało szczegółowo określone, które pola muszą być wypełnione obligatoryjnie (dane oznaczone literą „A”), a których wypełnianie jest fakultatywne, uzależnione od decyzji poszczególnych państw członkowskich (dane oznaczone literą „B”). Zmiana zakresu danych dla procedury „76” dotyczy usunięcia danej fakultatywnej, tj. danej dla pola 47 (tylko w zakresie podania podstawy opłaty). Związane jest to m. in. z ujednoliceniem zasad wypełniania zgłoszenia celnego dla procedury składowania celnego oznaczonej kodem procedury „71”, dla której pole 47 zgłoszenia celnego w ogóle nie jest wypełniane oraz składowania celnego oznaczonego kodem procedury „76”. Jednakże kryterium nadrzędnym jest w tym przypadku praktyczne wykorzystanie informacji w procesie przyjęcia zgłoszenia celnego, w tym zwłaszcza znaczenie tych danych dla możliwości sprawowania dozoru celnego i kontroli celnej. Procedura oznaczona kodem „76” jest </w:t>
      </w:r>
      <w:r w:rsidRPr="005A56D0">
        <w:rPr>
          <w:rFonts w:ascii="Times New Roman" w:hAnsi="Times New Roman"/>
        </w:rPr>
        <w:lastRenderedPageBreak/>
        <w:t xml:space="preserve">stosowana w </w:t>
      </w:r>
      <w:r w:rsidRPr="005A56D0">
        <w:rPr>
          <w:rFonts w:ascii="Times New Roman" w:hAnsi="Times New Roman"/>
          <w:color w:val="000000"/>
          <w:lang w:val="x-none"/>
        </w:rPr>
        <w:t>przypadku objęcia towarów procedurą składowania celnego w celu uzyskania wypłaty specjalnych refundacji wywozowych przed wywozem</w:t>
      </w:r>
      <w:r w:rsidRPr="005A56D0">
        <w:rPr>
          <w:rFonts w:ascii="Times New Roman" w:hAnsi="Times New Roman"/>
          <w:color w:val="000000"/>
        </w:rPr>
        <w:t xml:space="preserve">. Faktyczny wywóz (objęcie procedurą wywozu) następuje dopiero po zakończeniu składowania i wtedy też jest składane zgłoszenie do procedury wywozu. Dla potrzeb związanych ze stosowaniem procedury składowania celnego informacja dotycząca podstawy opłaty nie ma żadnego znaczenia ani w procesie przyjęcia zgłoszenia celnego, ani też dla określenia zakresu odpowiedzialności osoby uprawnionej do korzystania z procedury składowania celnego. Towar objęty procedurą składowania celnego jest pod dozorem celnym, ale na towarze tym, z racji że ma on status unijny, nie ciążą żadne należności. Nie jest więc wymagane podawanie informacji, w tym podstawy opłaty, dla potrzeb określenia kwoty długu celnego, który w tym przypadku nie powstaje. Z tego względu, korzystając z upoważnienia wynikającego z przepisów unijnego prawa celnego, Polska zdecydowała o wprowadzeniu do przepisów prawa krajowego stosownych regulacji. Zmiana w </w:t>
      </w:r>
      <w:r w:rsidRPr="005A56D0">
        <w:rPr>
          <w:rFonts w:ascii="Times New Roman" w:eastAsia="Times New Roman" w:hAnsi="Times New Roman"/>
        </w:rPr>
        <w:t xml:space="preserve">§ </w:t>
      </w:r>
      <w:r>
        <w:rPr>
          <w:rFonts w:ascii="Times New Roman" w:hAnsi="Times New Roman"/>
          <w:color w:val="000000"/>
        </w:rPr>
        <w:t>5 pkt 2 polega na wykreśleniu</w:t>
      </w:r>
      <w:r w:rsidRPr="005A56D0">
        <w:rPr>
          <w:rFonts w:ascii="Times New Roman" w:hAnsi="Times New Roman"/>
          <w:color w:val="000000"/>
        </w:rPr>
        <w:t xml:space="preserve"> z dotychczasowego brzmienia przepisu fragmentu tekstu „</w:t>
      </w:r>
      <w:r w:rsidRPr="005A56D0">
        <w:rPr>
          <w:rFonts w:ascii="Times New Roman" w:hAnsi="Times New Roman"/>
          <w:color w:val="000000"/>
          <w:lang w:val="x-none"/>
        </w:rPr>
        <w:t>47 (tylko w zakresie podania podstawy opłaty)</w:t>
      </w:r>
      <w:r w:rsidRPr="005A56D0">
        <w:rPr>
          <w:rFonts w:ascii="Times New Roman" w:hAnsi="Times New Roman"/>
          <w:color w:val="000000"/>
        </w:rPr>
        <w:t>”.</w:t>
      </w:r>
    </w:p>
    <w:p w:rsidR="00ED3B64" w:rsidRPr="005A56D0" w:rsidRDefault="00ED3B64" w:rsidP="00ED3B64">
      <w:pPr>
        <w:spacing w:after="120" w:line="264" w:lineRule="auto"/>
        <w:ind w:firstLine="720"/>
        <w:jc w:val="both"/>
        <w:rPr>
          <w:rFonts w:ascii="Times New Roman" w:hAnsi="Times New Roman"/>
          <w:color w:val="000000"/>
        </w:rPr>
      </w:pPr>
    </w:p>
    <w:p w:rsidR="00ED3B64" w:rsidRPr="005A56D0" w:rsidRDefault="00ED3B64" w:rsidP="00ED3B64">
      <w:pPr>
        <w:pStyle w:val="ARTartustawynprozporzdzenia"/>
        <w:spacing w:before="0" w:after="120" w:line="264" w:lineRule="auto"/>
        <w:ind w:firstLine="0"/>
        <w:rPr>
          <w:rFonts w:ascii="Times New Roman" w:eastAsia="Times New Roman" w:hAnsi="Times New Roman" w:cs="Times New Roman"/>
          <w:szCs w:val="24"/>
        </w:rPr>
      </w:pPr>
      <w:r w:rsidRPr="005A56D0">
        <w:rPr>
          <w:rFonts w:ascii="Times New Roman" w:hAnsi="Times New Roman" w:cs="Times New Roman"/>
          <w:b/>
          <w:bCs/>
          <w:szCs w:val="24"/>
          <w:lang w:eastAsia="en-US"/>
        </w:rPr>
        <w:t>Ad 2.</w:t>
      </w:r>
      <w:r w:rsidRPr="005A56D0">
        <w:rPr>
          <w:rFonts w:ascii="Times New Roman" w:hAnsi="Times New Roman" w:cs="Times New Roman"/>
          <w:bCs/>
          <w:szCs w:val="24"/>
          <w:lang w:eastAsia="en-US"/>
        </w:rPr>
        <w:t xml:space="preserve"> W</w:t>
      </w:r>
      <w:r w:rsidRPr="005A56D0">
        <w:rPr>
          <w:rFonts w:ascii="Times New Roman" w:hAnsi="Times New Roman" w:cs="Times New Roman"/>
          <w:szCs w:val="24"/>
        </w:rPr>
        <w:t xml:space="preserve"> </w:t>
      </w:r>
      <w:r w:rsidRPr="005A56D0">
        <w:rPr>
          <w:rFonts w:ascii="Times New Roman" w:eastAsia="Times New Roman" w:hAnsi="Times New Roman" w:cs="Times New Roman"/>
          <w:szCs w:val="24"/>
        </w:rPr>
        <w:t>§ 1 pkt 2 wprowadzono zmianę § 23 w celu prawidłowego określenia podmiotu uprawnionego do złożenia zbiorczego zgłoszenia celnego dla przesyłek określonych w tym przepisie. Przepis § 23 jest odpowiednikiem § 14</w:t>
      </w:r>
      <w:r>
        <w:rPr>
          <w:rFonts w:ascii="Times New Roman" w:eastAsia="Times New Roman" w:hAnsi="Times New Roman" w:cs="Times New Roman"/>
          <w:szCs w:val="24"/>
        </w:rPr>
        <w:t xml:space="preserve"> zmienio</w:t>
      </w:r>
      <w:r w:rsidRPr="005A56D0">
        <w:rPr>
          <w:rFonts w:ascii="Times New Roman" w:eastAsia="Times New Roman" w:hAnsi="Times New Roman" w:cs="Times New Roman"/>
          <w:szCs w:val="24"/>
        </w:rPr>
        <w:t>nego rozporządzenia, w którym prawidłowo został wskazany podmiot do składania takich zgłoszeń, czyli operator pocztowy inny niż operator wyznaczony. W zmieni</w:t>
      </w:r>
      <w:r>
        <w:rPr>
          <w:rFonts w:ascii="Times New Roman" w:eastAsia="Times New Roman" w:hAnsi="Times New Roman" w:cs="Times New Roman"/>
          <w:szCs w:val="24"/>
        </w:rPr>
        <w:t>o</w:t>
      </w:r>
      <w:r w:rsidRPr="005A56D0">
        <w:rPr>
          <w:rFonts w:ascii="Times New Roman" w:eastAsia="Times New Roman" w:hAnsi="Times New Roman" w:cs="Times New Roman"/>
          <w:szCs w:val="24"/>
        </w:rPr>
        <w:t>nym przepisie w miejsce określenia „operator wyznaczony” wprowadzono zapis „operator pocztowy inny niż operator wyznaczony”. Zasady składania zgłoszeń celnych przez operatora wyznaczonego, czyli operatora pocztowego obowiązanego do świadczenia usług powszechnych, uregulowane są całościowo w rozporządzeniu Ministra Rozwoju i Finansów z dnia 17 sierpnia 2016 r. w sprawie zgłoszeń celnych w obrocie pocztowym (Dz. U. poz. 1293) i nie są przedmiot</w:t>
      </w:r>
      <w:r>
        <w:rPr>
          <w:rFonts w:ascii="Times New Roman" w:eastAsia="Times New Roman" w:hAnsi="Times New Roman" w:cs="Times New Roman"/>
          <w:szCs w:val="24"/>
        </w:rPr>
        <w:t>em regulacji zawartych w zmienio</w:t>
      </w:r>
      <w:r w:rsidRPr="005A56D0">
        <w:rPr>
          <w:rFonts w:ascii="Times New Roman" w:eastAsia="Times New Roman" w:hAnsi="Times New Roman" w:cs="Times New Roman"/>
          <w:szCs w:val="24"/>
        </w:rPr>
        <w:t xml:space="preserve">nym rozporządzeniu. Dlatego też zmiana ta ma charakter sprostowania. </w:t>
      </w:r>
    </w:p>
    <w:p w:rsidR="00ED3B64" w:rsidRPr="005A56D0" w:rsidRDefault="00ED3B64" w:rsidP="00ED3B64">
      <w:pPr>
        <w:spacing w:after="120" w:line="264" w:lineRule="auto"/>
        <w:jc w:val="both"/>
        <w:rPr>
          <w:rFonts w:ascii="Times New Roman" w:eastAsia="Times New Roman" w:hAnsi="Times New Roman"/>
          <w:bCs/>
          <w:lang w:eastAsia="pl-PL"/>
        </w:rPr>
      </w:pPr>
    </w:p>
    <w:p w:rsidR="00ED3B64" w:rsidRPr="005A56D0" w:rsidRDefault="00ED3B64" w:rsidP="00ED3B64">
      <w:pPr>
        <w:spacing w:after="120" w:line="264" w:lineRule="auto"/>
        <w:jc w:val="both"/>
        <w:rPr>
          <w:rFonts w:ascii="Times New Roman" w:hAnsi="Times New Roman"/>
        </w:rPr>
      </w:pPr>
      <w:r w:rsidRPr="005A56D0">
        <w:rPr>
          <w:rFonts w:ascii="Times New Roman" w:eastAsia="Times New Roman" w:hAnsi="Times New Roman"/>
          <w:b/>
          <w:bCs/>
          <w:lang w:eastAsia="pl-PL"/>
        </w:rPr>
        <w:t>Ad 3.</w:t>
      </w:r>
      <w:r w:rsidRPr="005A56D0">
        <w:rPr>
          <w:rFonts w:ascii="Times New Roman" w:eastAsia="Times New Roman" w:hAnsi="Times New Roman"/>
          <w:bCs/>
          <w:lang w:eastAsia="pl-PL"/>
        </w:rPr>
        <w:t xml:space="preserve"> </w:t>
      </w:r>
      <w:r w:rsidRPr="005A56D0">
        <w:rPr>
          <w:rFonts w:ascii="Times New Roman" w:hAnsi="Times New Roman"/>
        </w:rPr>
        <w:t xml:space="preserve">Zmiany zaproponowane w </w:t>
      </w:r>
      <w:r w:rsidRPr="005A56D0">
        <w:rPr>
          <w:rFonts w:ascii="Times New Roman" w:eastAsia="Times New Roman" w:hAnsi="Times New Roman"/>
        </w:rPr>
        <w:t xml:space="preserve">§ 1 pkt 3, 4 i 5 (dotyczące </w:t>
      </w:r>
      <w:r w:rsidRPr="005A56D0">
        <w:rPr>
          <w:rFonts w:ascii="Times New Roman" w:hAnsi="Times New Roman"/>
        </w:rPr>
        <w:t xml:space="preserve">§ 34 ust. 4, § 35 ust. 1 oraz § 36 </w:t>
      </w:r>
      <w:r>
        <w:rPr>
          <w:rFonts w:ascii="Times New Roman" w:hAnsi="Times New Roman"/>
        </w:rPr>
        <w:t xml:space="preserve">   </w:t>
      </w:r>
      <w:r w:rsidRPr="005A56D0">
        <w:rPr>
          <w:rFonts w:ascii="Times New Roman" w:hAnsi="Times New Roman"/>
        </w:rPr>
        <w:t>pkt 1)  mają na celu jednolite ukształtowanie przepisów w zakresie sposobu ustalania ilości gazu ziemnego i energii elektrycznej wskazywanych w zgłoszeniu celnym. Dotychczasowe przepisy odmiennie regulowały kwestie ustalenia przez organ celny ilości gazu ziemnego i energii elektrycznej, pomimo iż zarówno w jednym jak i w drugim przypadku dokonuje się wirtualnej sprzedaży w punkcie wirtualnym.</w:t>
      </w:r>
    </w:p>
    <w:p w:rsidR="00ED3B64" w:rsidRPr="005A56D0" w:rsidRDefault="00ED3B64" w:rsidP="00ED3B64">
      <w:pPr>
        <w:spacing w:after="120" w:line="264" w:lineRule="auto"/>
        <w:jc w:val="both"/>
        <w:rPr>
          <w:rFonts w:ascii="Times New Roman" w:hAnsi="Times New Roman"/>
        </w:rPr>
      </w:pPr>
      <w:r w:rsidRPr="005A56D0">
        <w:rPr>
          <w:rFonts w:ascii="Times New Roman" w:hAnsi="Times New Roman"/>
        </w:rPr>
        <w:t xml:space="preserve">Przepis § 34 ust. 4 wprowadza zasadę, że w przypadku wymiany gazu wynikającej z różnicy pomiędzy alokacjami wykonanymi przez operatora systemu przesyłowego a wskazaniami urządzeń  pomiarowych w połączonych systemach gazowych krajów sąsiadujących, zgłoszenie celne o objęcie procedurą dopuszczenia do obrotu lub wywozu gazu składa się na podstawie salda konta operatorskiego prowadzonego przez operatorów sąsiadujących systemów gazowych, w okresach rozliczeniowych nie dłuższych niż miesiąc, w terminie 3 dni od dnia uzgodnienia salda konta operatorskiego. </w:t>
      </w:r>
    </w:p>
    <w:p w:rsidR="00ED3B64" w:rsidRPr="005A56D0" w:rsidRDefault="00ED3B64" w:rsidP="00ED3B64">
      <w:pPr>
        <w:spacing w:after="120" w:line="264" w:lineRule="auto"/>
        <w:jc w:val="both"/>
        <w:rPr>
          <w:rFonts w:ascii="Times New Roman" w:hAnsi="Times New Roman"/>
          <w:color w:val="000000"/>
        </w:rPr>
      </w:pPr>
      <w:r w:rsidRPr="005A56D0">
        <w:rPr>
          <w:rFonts w:ascii="Times New Roman" w:hAnsi="Times New Roman"/>
        </w:rPr>
        <w:t>Zgłoszenia celne dotyczące wymiany gazu wynikającej z różnic pomiędzy alokacjami, o których mowa w § 34 ust. 4, składa operator systemu gazowego.</w:t>
      </w:r>
    </w:p>
    <w:p w:rsidR="00ED3B64" w:rsidRPr="005A56D0" w:rsidRDefault="00ED3B64" w:rsidP="00ED3B64">
      <w:pPr>
        <w:suppressAutoHyphens/>
        <w:autoSpaceDE w:val="0"/>
        <w:autoSpaceDN w:val="0"/>
        <w:adjustRightInd w:val="0"/>
        <w:spacing w:after="120" w:line="264" w:lineRule="auto"/>
        <w:jc w:val="both"/>
        <w:rPr>
          <w:rFonts w:ascii="Times New Roman" w:hAnsi="Times New Roman"/>
          <w:color w:val="000000"/>
        </w:rPr>
      </w:pPr>
      <w:r w:rsidRPr="005A56D0">
        <w:rPr>
          <w:rFonts w:ascii="Times New Roman" w:hAnsi="Times New Roman"/>
        </w:rPr>
        <w:lastRenderedPageBreak/>
        <w:t>Natomiast w § 35 ust. 1 określono, że w</w:t>
      </w:r>
      <w:r w:rsidRPr="00ED08AC">
        <w:rPr>
          <w:rFonts w:ascii="Times New Roman" w:eastAsiaTheme="minorEastAsia" w:hAnsi="Times New Roman"/>
          <w:lang w:eastAsia="pl-PL"/>
        </w:rPr>
        <w:t xml:space="preserve"> zgłoszeniu celnym podaje się ilość gazu w jednostkach miary określoną</w:t>
      </w:r>
      <w:r w:rsidRPr="005A56D0">
        <w:rPr>
          <w:rFonts w:ascii="Times New Roman" w:eastAsiaTheme="minorEastAsia" w:hAnsi="Times New Roman"/>
          <w:lang w:eastAsia="pl-PL"/>
        </w:rPr>
        <w:t xml:space="preserve"> </w:t>
      </w:r>
      <w:r w:rsidRPr="00ED08AC">
        <w:rPr>
          <w:rFonts w:ascii="Times New Roman" w:eastAsiaTheme="minorEastAsia" w:hAnsi="Times New Roman"/>
          <w:bCs/>
          <w:lang w:eastAsia="pl-PL"/>
        </w:rPr>
        <w:t>przy wprowadzaniu na obszar celny Unii i dopuszczaniu do obrotu na terytorium Rzeczypospolitej Polskiej − zgodnie z alokacją wykonaną przez operatora systemu przesyłowego albo fakturą, albo na podstawie podziału strumienia gazu, wykonanego przez przedsiębiorstwo energetyczne świadczące usługi przesyłania z tytułu umów o świadczenie usług przesyłania paliw gazowych, o których mowa w art. 22 ust. 1 ustawy z dnia 26 lipca 2013 r. o zmianie ustawy - Prawo energetyczne oraz niektórych innych ustaw (Dz. U. poz. 984)</w:t>
      </w:r>
      <w:r>
        <w:rPr>
          <w:rFonts w:ascii="Times New Roman" w:eastAsiaTheme="minorEastAsia" w:hAnsi="Times New Roman"/>
          <w:bCs/>
          <w:lang w:eastAsia="pl-PL"/>
        </w:rPr>
        <w:t xml:space="preserve">. W ust. 2 natomiast wskazano, że </w:t>
      </w:r>
      <w:r w:rsidRPr="005A56D0">
        <w:rPr>
          <w:rFonts w:ascii="Times New Roman" w:eastAsiaTheme="minorEastAsia" w:hAnsi="Times New Roman"/>
          <w:lang w:eastAsia="pl-PL"/>
        </w:rPr>
        <w:t xml:space="preserve">przy wywozie poza obszar celny Unii </w:t>
      </w:r>
      <w:r w:rsidRPr="005A56D0">
        <w:rPr>
          <w:rFonts w:ascii="Times New Roman" w:hAnsi="Times New Roman"/>
        </w:rPr>
        <w:t>w</w:t>
      </w:r>
      <w:r w:rsidRPr="00ED08AC">
        <w:rPr>
          <w:rFonts w:ascii="Times New Roman" w:eastAsiaTheme="minorEastAsia" w:hAnsi="Times New Roman"/>
          <w:lang w:eastAsia="pl-PL"/>
        </w:rPr>
        <w:t xml:space="preserve"> zgłoszeniu celnym podaje się ilość gazu w jednostkach miary określoną</w:t>
      </w:r>
      <w:r w:rsidRPr="005A56D0">
        <w:rPr>
          <w:rFonts w:ascii="Times New Roman" w:eastAsiaTheme="minorEastAsia" w:hAnsi="Times New Roman"/>
          <w:lang w:eastAsia="pl-PL"/>
        </w:rPr>
        <w:t xml:space="preserve"> zgodnie z alokacją wykonaną przez operatora systemu przesyłowego albo fakturą.</w:t>
      </w:r>
    </w:p>
    <w:p w:rsidR="00ED3B64" w:rsidRPr="005A56D0" w:rsidRDefault="00ED3B64" w:rsidP="00ED3B64">
      <w:pPr>
        <w:spacing w:after="120" w:line="264" w:lineRule="auto"/>
        <w:jc w:val="both"/>
        <w:rPr>
          <w:rFonts w:ascii="Times New Roman" w:hAnsi="Times New Roman"/>
        </w:rPr>
      </w:pPr>
      <w:r w:rsidRPr="005A56D0">
        <w:rPr>
          <w:rFonts w:ascii="Times New Roman" w:hAnsi="Times New Roman"/>
        </w:rPr>
        <w:t>Zgłoszenia celne dotyczące ilości gazu dotyczące procedury dopuszczenia do obrotu i procedury wywozu, o których mowa w § 35 ust. 1, składa odpowiednio odbiorca (importer), eksporter albo działający w ich imieniu przedstawiciele.</w:t>
      </w:r>
    </w:p>
    <w:p w:rsidR="00ED3B64" w:rsidRPr="005A56D0" w:rsidRDefault="00ED3B64" w:rsidP="00ED3B64">
      <w:pPr>
        <w:autoSpaceDE w:val="0"/>
        <w:autoSpaceDN w:val="0"/>
        <w:adjustRightInd w:val="0"/>
        <w:spacing w:after="120" w:line="264" w:lineRule="auto"/>
        <w:jc w:val="both"/>
        <w:rPr>
          <w:rFonts w:ascii="Times New Roman" w:eastAsia="Times New Roman" w:hAnsi="Times New Roman"/>
        </w:rPr>
      </w:pPr>
      <w:r w:rsidRPr="005A56D0">
        <w:rPr>
          <w:rFonts w:ascii="Times New Roman" w:eastAsia="Times New Roman" w:hAnsi="Times New Roman"/>
        </w:rPr>
        <w:t xml:space="preserve">W odniesieniu do zmian zawartych w ww. </w:t>
      </w:r>
      <w:r w:rsidRPr="005A56D0">
        <w:rPr>
          <w:rFonts w:ascii="Times New Roman" w:hAnsi="Times New Roman"/>
        </w:rPr>
        <w:t>§ 35 ust. 1 należy wyjaśnić, że o</w:t>
      </w:r>
      <w:r w:rsidRPr="005A56D0">
        <w:rPr>
          <w:rFonts w:ascii="Times New Roman" w:eastAsia="Times New Roman" w:hAnsi="Times New Roman"/>
        </w:rPr>
        <w:t xml:space="preserve">becnie podmioty dokonujące zgłoszenia celnego otrzymują informacje z protokołów sporządzanych na podstawie protokołów strumienia gazu od operatora lub przedsiębiorstwa świadczącego usługę przesyłania paliw gazowych. W tym zakresie sytuacja dla podmiotów dokonujących zgłoszenia nie ulegnie zmianie. Podmiot dokonujący zgłoszenia nadal będzie otrzymywał niezbędne informacje od operatora lub przedsiębiorstwa świadczącego usługę przesyłania paliw gazowych, jednakże te informacje nie będą wytwarzane na podstawie wskazań przyrządów pomiarowych, a na podstawie podziału strumienia gazu, określanego przez operatorów „alokacją”. Każde z przedsiębiorstw świadczących usługi przesyłania paliw gazowych dokonuje pomiędzy swych klientów podziału strumienia gazu, nazywanego zgodnie z instrukcją ruchu - alokacją. Przenoszenie własności gazu ziemnego odbywa się poprzez system umów sprzedaży oraz alokacji wykonanych przez operatora systemu przesyłowego dla uczestników rynku, w oderwaniu od fizycznej lokalizacji paliwa gazowego. Natomiast </w:t>
      </w:r>
      <w:proofErr w:type="spellStart"/>
      <w:r w:rsidRPr="005A56D0">
        <w:rPr>
          <w:rFonts w:ascii="Times New Roman" w:eastAsia="Times New Roman" w:hAnsi="Times New Roman"/>
        </w:rPr>
        <w:t>przesył</w:t>
      </w:r>
      <w:proofErr w:type="spellEnd"/>
      <w:r w:rsidRPr="005A56D0">
        <w:rPr>
          <w:rFonts w:ascii="Times New Roman" w:eastAsia="Times New Roman" w:hAnsi="Times New Roman"/>
        </w:rPr>
        <w:t xml:space="preserve"> fizyczny gazu ziemnego w punktach międzysystemowych (na granicy obszarów bilansowania) realizowany jest jedynie w ilości odpowiadającej różnicy zsumowanych nominacji zgłoszonych przez uczestników rynku w obu kierunkach. Alokowanie ilości jest określeniem ilości przekazanych/przesłanych przez poszczególne podmioty w danym punkcie. W przypadku gdy w danym punkcie funkcjonuje konto operatorskie „wykonane alokacje” są równe ilościom w przekazanych do operatora </w:t>
      </w:r>
      <w:r w:rsidRPr="005A56D0">
        <w:rPr>
          <w:rFonts w:ascii="Times New Roman" w:eastAsia="Times New Roman" w:hAnsi="Times New Roman"/>
        </w:rPr>
        <w:br/>
        <w:t xml:space="preserve">i zatwierdzonych przez niego nominacjach (zgłoszeniach ilości do przekazania). W przypadku braku konta operatorskiego </w:t>
      </w:r>
      <w:r>
        <w:rPr>
          <w:rFonts w:ascii="Times New Roman" w:eastAsia="Times New Roman" w:hAnsi="Times New Roman"/>
        </w:rPr>
        <w:t>w</w:t>
      </w:r>
      <w:r w:rsidRPr="005A56D0">
        <w:rPr>
          <w:rFonts w:ascii="Times New Roman" w:eastAsia="Times New Roman" w:hAnsi="Times New Roman"/>
        </w:rPr>
        <w:t xml:space="preserve"> danym punkcie suma „wykonanych alokacji” odpowiada całkowitej ilości zmierzonej w danym punkcie. Zatem funkcjonowanie w danym punkcie konta operatorskiego lub jego brak nie ma wpływu na opisaną w regulacji zasadę zgłaszania ilości według „wykonanych alokacji”.</w:t>
      </w:r>
    </w:p>
    <w:p w:rsidR="00ED3B64" w:rsidRPr="005A56D0" w:rsidRDefault="00ED3B64" w:rsidP="00ED3B64">
      <w:pPr>
        <w:autoSpaceDE w:val="0"/>
        <w:autoSpaceDN w:val="0"/>
        <w:adjustRightInd w:val="0"/>
        <w:spacing w:after="120" w:line="264" w:lineRule="auto"/>
        <w:jc w:val="both"/>
        <w:rPr>
          <w:rFonts w:ascii="Times New Roman" w:eastAsia="Times New Roman" w:hAnsi="Times New Roman"/>
        </w:rPr>
      </w:pPr>
      <w:r w:rsidRPr="005A56D0">
        <w:rPr>
          <w:rFonts w:ascii="Times New Roman" w:eastAsia="Times New Roman" w:hAnsi="Times New Roman"/>
        </w:rPr>
        <w:t xml:space="preserve">Odrębny termin używany jest w przedsiębiorstwie energetycznym, które świadcząc usługi przesyłania paliw gazowych na rzecz swych klientów nie dokonuje czynności alokacji </w:t>
      </w:r>
      <w:r w:rsidRPr="005A56D0">
        <w:rPr>
          <w:rFonts w:ascii="Times New Roman" w:eastAsia="Times New Roman" w:hAnsi="Times New Roman"/>
        </w:rPr>
        <w:br/>
        <w:t xml:space="preserve">w literalnym rozumieniu pojęcia alokacji wynikającej z przepisów unijnych (kodeks dotyczący bilansowania) m.in. z uwagi na fakt, że przedsiębiorstwo takie nie jest wyznaczone na operatora systemu przesyłowego (definicja alokacji odnosi się wprost do czynności wykonywanej przez operatora systemu przesyłowego). Realizując swoje kontrakty na przesyłanie gazu ziemnego zawarte przed dniem 3 września 2009 r. (tzw. kontrakty historyczne), których prawo wykonywania do końca okresów ich obowiązywania wynika z </w:t>
      </w:r>
      <w:r w:rsidRPr="005A56D0">
        <w:rPr>
          <w:rFonts w:ascii="Times New Roman" w:eastAsia="Times New Roman" w:hAnsi="Times New Roman"/>
        </w:rPr>
        <w:lastRenderedPageBreak/>
        <w:t xml:space="preserve">art. 22 ust. 1 ustawy z dnia 26 lipca 2013 r. </w:t>
      </w:r>
      <w:r w:rsidRPr="005A56D0">
        <w:rPr>
          <w:rFonts w:ascii="Times New Roman" w:eastAsia="Times New Roman" w:hAnsi="Times New Roman"/>
          <w:i/>
          <w:iCs/>
        </w:rPr>
        <w:t xml:space="preserve">o zmianie ustawy Prawo energetyczne oraz niektórych innych ustaw </w:t>
      </w:r>
      <w:r w:rsidRPr="005A56D0">
        <w:rPr>
          <w:rFonts w:ascii="Times New Roman" w:eastAsia="Times New Roman" w:hAnsi="Times New Roman"/>
        </w:rPr>
        <w:t>(Dz. U. z 2013 r., poz. 984 ), przedsiębiorstwo takie dokonuje podziału strumienia gazu (co jest realizowane co miesiąc, a nie codziennie, jak przy czynności alokacji), a następnie sporządza protokoły zdawczo-odbiorcze.</w:t>
      </w:r>
    </w:p>
    <w:p w:rsidR="00ED3B64" w:rsidRPr="005A56D0" w:rsidRDefault="00ED3B64" w:rsidP="00ED3B64">
      <w:pPr>
        <w:autoSpaceDE w:val="0"/>
        <w:autoSpaceDN w:val="0"/>
        <w:adjustRightInd w:val="0"/>
        <w:spacing w:after="120" w:line="264" w:lineRule="auto"/>
        <w:jc w:val="both"/>
        <w:rPr>
          <w:rFonts w:ascii="Times New Roman" w:eastAsia="Times New Roman" w:hAnsi="Times New Roman"/>
        </w:rPr>
      </w:pPr>
      <w:r w:rsidRPr="005A56D0">
        <w:rPr>
          <w:rFonts w:ascii="Times New Roman" w:eastAsia="Times New Roman" w:hAnsi="Times New Roman"/>
        </w:rPr>
        <w:t xml:space="preserve">Z uwagi, iż podmioty dokonujące zgłoszenia celnego otrzymują dokumenty, na podstawie których to zgłoszenie ma być dokonane, nowe przepisy odzwierciedlają powyższe różnice w nazewnictwie i uwzględniają w § 35 ust. 1 podział strumienia gazu wykonanego przez przedsiębiorstwo energetyczne świadczące usługi przesyłania dla umów o świadczenie usług przesyłania paliw gazowych, o których mowa w art. 22 ust. 1 ustawy z dnia 26 lipca 2013 r. </w:t>
      </w:r>
      <w:r w:rsidRPr="005A56D0">
        <w:rPr>
          <w:rFonts w:ascii="Times New Roman" w:eastAsia="Times New Roman" w:hAnsi="Times New Roman"/>
          <w:i/>
          <w:iCs/>
        </w:rPr>
        <w:t>o zmianie ustawy Prawo energetyczne oraz niektórych innych ustaw</w:t>
      </w:r>
      <w:r w:rsidRPr="005A56D0">
        <w:rPr>
          <w:rFonts w:ascii="Times New Roman" w:eastAsia="Times New Roman" w:hAnsi="Times New Roman"/>
        </w:rPr>
        <w:t xml:space="preserve">, od alokacji dokonywanej przez przedsiębiorstwo energetyczne dokonujące </w:t>
      </w:r>
      <w:proofErr w:type="spellStart"/>
      <w:r w:rsidRPr="005A56D0">
        <w:rPr>
          <w:rFonts w:ascii="Times New Roman" w:eastAsia="Times New Roman" w:hAnsi="Times New Roman"/>
        </w:rPr>
        <w:t>przesyłu</w:t>
      </w:r>
      <w:proofErr w:type="spellEnd"/>
      <w:r w:rsidRPr="005A56D0">
        <w:rPr>
          <w:rFonts w:ascii="Times New Roman" w:eastAsia="Times New Roman" w:hAnsi="Times New Roman"/>
        </w:rPr>
        <w:t xml:space="preserve"> paliw gazowych jako podstawy do ustalenia ilości gazu podanej w zgłoszeniu celnym. A zatem, każde przedsiębiorstwo energetyczne świadczące usługi </w:t>
      </w:r>
      <w:proofErr w:type="spellStart"/>
      <w:r w:rsidRPr="005A56D0">
        <w:rPr>
          <w:rFonts w:ascii="Times New Roman" w:eastAsia="Times New Roman" w:hAnsi="Times New Roman"/>
        </w:rPr>
        <w:t>przesyłu</w:t>
      </w:r>
      <w:proofErr w:type="spellEnd"/>
      <w:r w:rsidRPr="005A56D0">
        <w:rPr>
          <w:rFonts w:ascii="Times New Roman" w:eastAsia="Times New Roman" w:hAnsi="Times New Roman"/>
        </w:rPr>
        <w:t xml:space="preserve"> gazu dokonuje podziału strumienia gazu pomiędzy swych klientów określanego (z ww. wyjątkiem) alokacją niezależnie od posiadania, lub nie, kont operatorskich. </w:t>
      </w:r>
    </w:p>
    <w:p w:rsidR="00ED3B64" w:rsidRPr="005A56D0" w:rsidRDefault="00ED3B64" w:rsidP="00ED3B64">
      <w:pPr>
        <w:autoSpaceDE w:val="0"/>
        <w:autoSpaceDN w:val="0"/>
        <w:adjustRightInd w:val="0"/>
        <w:spacing w:after="120" w:line="264" w:lineRule="auto"/>
        <w:jc w:val="both"/>
        <w:rPr>
          <w:rFonts w:ascii="Times New Roman" w:hAnsi="Times New Roman"/>
        </w:rPr>
      </w:pPr>
      <w:r w:rsidRPr="005A56D0">
        <w:rPr>
          <w:rFonts w:ascii="Times New Roman" w:eastAsia="Times New Roman" w:hAnsi="Times New Roman"/>
        </w:rPr>
        <w:t>W celu uniknięcia sytuacji, w których z różnych względów nie zostałaby wystawiona faktura, na podstawie której podmiot dokonuje zgłoszenia celnego, należy jako podstawę dokonywania zgłoszenia celnego gazu ziemnego wskazać alokację lub strumień podziału gazu. Podmiot, który dokonał sprowadzenia gazu na terytorium Polski albo jego wywozu za granicę otrzyma co do zasady alokację od operatora systemu przesyłowego. Będzie zatem posiadał dane niezbędne do dokonania zgłoszenia celnego.</w:t>
      </w:r>
    </w:p>
    <w:p w:rsidR="00ED3B64" w:rsidRPr="005A56D0" w:rsidRDefault="00ED3B64" w:rsidP="00ED3B64">
      <w:pPr>
        <w:spacing w:after="120" w:line="264" w:lineRule="auto"/>
        <w:jc w:val="both"/>
        <w:rPr>
          <w:rFonts w:ascii="Times New Roman" w:eastAsia="Times New Roman" w:hAnsi="Times New Roman"/>
        </w:rPr>
      </w:pPr>
    </w:p>
    <w:p w:rsidR="00ED3B64" w:rsidRPr="005A56D0" w:rsidRDefault="00ED3B64" w:rsidP="00ED3B64">
      <w:pPr>
        <w:spacing w:after="120" w:line="264" w:lineRule="auto"/>
        <w:jc w:val="both"/>
        <w:rPr>
          <w:rFonts w:ascii="Times New Roman" w:hAnsi="Times New Roman"/>
        </w:rPr>
      </w:pPr>
      <w:r w:rsidRPr="005A56D0">
        <w:rPr>
          <w:rFonts w:ascii="Times New Roman" w:eastAsia="Times New Roman" w:hAnsi="Times New Roman"/>
        </w:rPr>
        <w:t xml:space="preserve">Konsekwentnie wobec zmian wprowadzonych w § 35 ust. 1, zaproponowano również zmiany w § 36 pkt 1 poprzez wskazanie dokumentów, które należy załączyć do zgłoszenia celnego </w:t>
      </w:r>
      <w:r w:rsidRPr="005A56D0">
        <w:rPr>
          <w:rFonts w:ascii="Times New Roman" w:hAnsi="Times New Roman"/>
        </w:rPr>
        <w:t>w przypadku zgłoszenia celnego o objęcie procedurą dopuszczenia do obrotu energii elektrycznej lub gazu</w:t>
      </w:r>
      <w:r w:rsidRPr="005A56D0">
        <w:rPr>
          <w:rFonts w:ascii="Times New Roman" w:eastAsia="Times New Roman" w:hAnsi="Times New Roman"/>
        </w:rPr>
        <w:t xml:space="preserve"> i są to </w:t>
      </w:r>
      <w:r w:rsidRPr="005A56D0">
        <w:rPr>
          <w:rFonts w:ascii="Times New Roman" w:hAnsi="Times New Roman"/>
        </w:rPr>
        <w:t>dokumenty potwierdzające alokację wykonaną przez operatora systemu przesyłowego albo podział strumienia gazu albo faktura dostawcy potwierdzona przez odbiorcę, przy czym w zakresie zgłoszeń celnych, o których mowa w § 34 ust. 2 i 4 (czyli zgłoszeń dotyczących energii elektrycznej i gazu składanych przez operatorów systemów), do zgłoszenia celnego dołącza się jedynie dokumenty potwierdzające odpowiednio saldo wymiany albo saldo konta operatorskiego.</w:t>
      </w:r>
    </w:p>
    <w:p w:rsidR="00ED3B64" w:rsidRPr="005A56D0" w:rsidRDefault="00ED3B64" w:rsidP="00ED3B64">
      <w:pPr>
        <w:spacing w:after="120" w:line="264" w:lineRule="auto"/>
        <w:jc w:val="both"/>
        <w:rPr>
          <w:rFonts w:ascii="Times New Roman" w:hAnsi="Times New Roman"/>
        </w:rPr>
      </w:pPr>
      <w:r w:rsidRPr="005A56D0">
        <w:rPr>
          <w:rFonts w:ascii="Times New Roman" w:hAnsi="Times New Roman"/>
        </w:rPr>
        <w:t xml:space="preserve">Konta operatorskie, o których mowa w przepisach, są obligatoryjne wyłącznie na terytorium Unii Europejskiej. Obowiązek ten nie ma natomiast zastosowania w przypadku wymiany handlowej na granicy z Ukrainą i Białorusią. W przypadku, gdy takie konto istnieje, to alokacja odpowiada nominacji. W sytuacji jego braku operator alokuje całą ilość wskazaną przez układ pomiarowy na eksportera, niezależnie od wcześniej zatwierdzanych nominacji. Dlatego też ilość gazu podawana w zgłoszeniu celnym powinna wynikać z faktury dostawcy wystawionej na podstawie alokacji zatwierdzonej przez operatora systemu przesyłowego. </w:t>
      </w:r>
    </w:p>
    <w:p w:rsidR="00ED3B64" w:rsidRPr="005A56D0" w:rsidRDefault="00ED3B64" w:rsidP="00ED3B64">
      <w:pPr>
        <w:spacing w:after="120" w:line="264" w:lineRule="auto"/>
        <w:jc w:val="both"/>
        <w:rPr>
          <w:rFonts w:ascii="Times New Roman" w:hAnsi="Times New Roman"/>
        </w:rPr>
      </w:pPr>
    </w:p>
    <w:p w:rsidR="00ED3B64" w:rsidRPr="005A56D0" w:rsidRDefault="00ED3B64" w:rsidP="00ED3B64">
      <w:pPr>
        <w:spacing w:after="120" w:line="264" w:lineRule="auto"/>
        <w:jc w:val="both"/>
        <w:rPr>
          <w:rFonts w:ascii="Times New Roman" w:hAnsi="Times New Roman"/>
        </w:rPr>
      </w:pPr>
      <w:r w:rsidRPr="005A56D0">
        <w:rPr>
          <w:rFonts w:ascii="Times New Roman" w:hAnsi="Times New Roman"/>
          <w:b/>
        </w:rPr>
        <w:t>Ad. 4.</w:t>
      </w:r>
      <w:r w:rsidRPr="005A56D0">
        <w:rPr>
          <w:rFonts w:ascii="Times New Roman" w:hAnsi="Times New Roman"/>
        </w:rPr>
        <w:t xml:space="preserve"> W załączniku nr 1 (§ 1 pkt 6 rozporządzenia) zmiana polega na tym, że w ust. 4 w pkt 2 zmienione zostały wyrazy „Z up. Nacz. U.C.:” na wyrazy „Z up. Nacz. U.C.S.:”.</w:t>
      </w:r>
    </w:p>
    <w:p w:rsidR="00ED3B64" w:rsidRPr="005A56D0" w:rsidRDefault="00ED3B64" w:rsidP="00ED3B64">
      <w:pPr>
        <w:spacing w:after="120" w:line="264" w:lineRule="auto"/>
        <w:jc w:val="both"/>
        <w:rPr>
          <w:rFonts w:ascii="Times New Roman" w:eastAsia="Times New Roman" w:hAnsi="Times New Roman"/>
        </w:rPr>
      </w:pPr>
      <w:r w:rsidRPr="005A56D0">
        <w:rPr>
          <w:rFonts w:ascii="Times New Roman" w:hAnsi="Times New Roman"/>
        </w:rPr>
        <w:t xml:space="preserve">W § 1 w pkt 7 zmieniono brzmienie obecnie obowiązujących załączników nr 2, 5 i 6. </w:t>
      </w:r>
      <w:r w:rsidRPr="005A56D0">
        <w:rPr>
          <w:rFonts w:ascii="Times New Roman" w:eastAsia="Times New Roman" w:hAnsi="Times New Roman"/>
        </w:rPr>
        <w:t xml:space="preserve">Załączniki nr 2, 5 i 6 do zmienionego rozporządzenia otrzymały brzmienie określone </w:t>
      </w:r>
      <w:r w:rsidRPr="005A56D0">
        <w:rPr>
          <w:rFonts w:ascii="Times New Roman" w:eastAsia="Times New Roman" w:hAnsi="Times New Roman"/>
        </w:rPr>
        <w:lastRenderedPageBreak/>
        <w:t>odpowiednio w załącznikach nr 1, 2 i 3, do niniejszego rozporządzenia. Zmiana ta związana jest przede wszystkim z koniecznością dostosowania rozporządzenia w sprawie zgłoszeń celnych do zmian związanych z wdrożeniem ustawy o Krajowej Administracji Skarbowej. Dodatkowo wprowadzone zostały drobne korekty redakcyjne i doprecyzowania.</w:t>
      </w:r>
    </w:p>
    <w:p w:rsidR="00ED3B64" w:rsidRPr="005A56D0" w:rsidRDefault="00ED3B64" w:rsidP="00ED3B64">
      <w:pPr>
        <w:spacing w:after="120" w:line="264" w:lineRule="auto"/>
        <w:jc w:val="both"/>
        <w:rPr>
          <w:rFonts w:ascii="Times New Roman" w:eastAsia="Times New Roman" w:hAnsi="Times New Roman"/>
        </w:rPr>
      </w:pPr>
      <w:r w:rsidRPr="005A56D0">
        <w:rPr>
          <w:rFonts w:ascii="Times New Roman" w:eastAsia="Times New Roman" w:hAnsi="Times New Roman"/>
        </w:rPr>
        <w:t xml:space="preserve">W załączniku nr 2 zmiana polega na zastąpieniu we wzorach </w:t>
      </w:r>
      <w:r w:rsidRPr="005A56D0">
        <w:rPr>
          <w:rFonts w:ascii="Times New Roman" w:eastAsia="Times New Roman" w:hAnsi="Times New Roman"/>
          <w:i/>
        </w:rPr>
        <w:t xml:space="preserve">Dokumentu Potwierdzającego Dokonanie Zgłoszenia Celnego </w:t>
      </w:r>
      <w:r w:rsidRPr="005A56D0">
        <w:rPr>
          <w:rFonts w:ascii="Times New Roman" w:eastAsia="Times New Roman" w:hAnsi="Times New Roman"/>
        </w:rPr>
        <w:t xml:space="preserve">oraz w </w:t>
      </w:r>
      <w:r w:rsidRPr="005A56D0">
        <w:rPr>
          <w:rFonts w:ascii="Times New Roman" w:eastAsia="Times New Roman" w:hAnsi="Times New Roman"/>
          <w:i/>
        </w:rPr>
        <w:t>Instrukcji</w:t>
      </w:r>
      <w:r w:rsidRPr="005A56D0">
        <w:rPr>
          <w:rFonts w:ascii="Times New Roman" w:eastAsia="Times New Roman" w:hAnsi="Times New Roman"/>
        </w:rPr>
        <w:t xml:space="preserve"> posługiwania się tym dokumentem określenia „urząd celny” na określenie „organ celny” oraz określenia „funkcjonariusz celny” na określenie „organ celny” albo „osoba przyjmująca wpłatę” albo „osoba wystawiająca potwierdzenie”. Propozycja tej zmiany jest zgodna z przepisami UKC oraz tekstem podstawowym rozporządzenia </w:t>
      </w:r>
      <w:r w:rsidRPr="005A56D0">
        <w:rPr>
          <w:rFonts w:ascii="Times New Roman" w:eastAsia="Times New Roman" w:hAnsi="Times New Roman"/>
          <w:i/>
        </w:rPr>
        <w:t>w sprawie zgłoszeń celnych</w:t>
      </w:r>
      <w:r w:rsidRPr="005A56D0">
        <w:rPr>
          <w:rFonts w:ascii="Times New Roman" w:eastAsia="Times New Roman" w:hAnsi="Times New Roman"/>
        </w:rPr>
        <w:t xml:space="preserve">, w których dla potrzeb wskazania właściwego organu używa się określenia „organ celny”, a także z przepisami ustawy o Krajowej Administracji Skarbowej. Ponadto </w:t>
      </w:r>
      <w:r w:rsidRPr="005A56D0">
        <w:rPr>
          <w:rFonts w:ascii="Times New Roman" w:hAnsi="Times New Roman"/>
        </w:rPr>
        <w:t>we wzorze dokumentu po wyrazach: „</w:t>
      </w:r>
      <w:r w:rsidRPr="005A56D0">
        <w:rPr>
          <w:rFonts w:ascii="Times New Roman" w:eastAsia="Times New Roman" w:hAnsi="Times New Roman"/>
          <w:color w:val="000000"/>
          <w:spacing w:val="-7"/>
        </w:rPr>
        <w:t xml:space="preserve">Zostałem powiadomiony o kwocie należności wynikającej z długu celnego” </w:t>
      </w:r>
      <w:r w:rsidRPr="005A56D0">
        <w:rPr>
          <w:rFonts w:ascii="Times New Roman" w:eastAsia="Times New Roman" w:hAnsi="Times New Roman"/>
        </w:rPr>
        <w:t>dodano</w:t>
      </w:r>
      <w:r w:rsidRPr="005A56D0">
        <w:rPr>
          <w:rFonts w:ascii="Times New Roman" w:eastAsia="Times New Roman" w:hAnsi="Times New Roman"/>
          <w:color w:val="000000"/>
          <w:spacing w:val="-7"/>
        </w:rPr>
        <w:t xml:space="preserve"> wyrazy „i należności podatkowych”, co jest zgodne z art. 34 ust. 2 ustawy z dnia 11 marca 2004 r. o podatku od towarów i usług (Dz. U. z 2016 r. poz. 710, z </w:t>
      </w:r>
      <w:proofErr w:type="spellStart"/>
      <w:r w:rsidRPr="005A56D0">
        <w:rPr>
          <w:rFonts w:ascii="Times New Roman" w:eastAsia="Times New Roman" w:hAnsi="Times New Roman"/>
          <w:color w:val="000000"/>
          <w:spacing w:val="-7"/>
        </w:rPr>
        <w:t>późn</w:t>
      </w:r>
      <w:proofErr w:type="spellEnd"/>
      <w:r w:rsidRPr="005A56D0">
        <w:rPr>
          <w:rFonts w:ascii="Times New Roman" w:eastAsia="Times New Roman" w:hAnsi="Times New Roman"/>
          <w:color w:val="000000"/>
          <w:spacing w:val="-7"/>
        </w:rPr>
        <w:t>. zm.).</w:t>
      </w:r>
    </w:p>
    <w:p w:rsidR="00ED3B64" w:rsidRPr="005A56D0" w:rsidRDefault="00ED3B64" w:rsidP="00ED3B64">
      <w:pPr>
        <w:spacing w:after="120" w:line="264" w:lineRule="auto"/>
        <w:jc w:val="both"/>
        <w:rPr>
          <w:rFonts w:ascii="Times New Roman" w:eastAsia="Times New Roman" w:hAnsi="Times New Roman"/>
        </w:rPr>
      </w:pPr>
      <w:r w:rsidRPr="005A56D0">
        <w:rPr>
          <w:rFonts w:ascii="Times New Roman" w:eastAsia="Times New Roman" w:hAnsi="Times New Roman"/>
        </w:rPr>
        <w:t xml:space="preserve">W załączniku nr 5 zmiana polega na zastąpieniu we wzorze </w:t>
      </w:r>
      <w:r w:rsidRPr="005A56D0">
        <w:rPr>
          <w:rFonts w:ascii="Times New Roman" w:eastAsia="Times New Roman" w:hAnsi="Times New Roman"/>
          <w:i/>
        </w:rPr>
        <w:t>Deklaracji celnej eksportowo-importowej dla wojskowych pojazdów służbowych</w:t>
      </w:r>
      <w:r w:rsidRPr="005A56D0">
        <w:rPr>
          <w:rFonts w:ascii="Times New Roman" w:eastAsia="Times New Roman" w:hAnsi="Times New Roman"/>
        </w:rPr>
        <w:t xml:space="preserve"> wyrazów „urząd celny” na określenie „organ celny” oraz wyrazów „Podpis i pieczęć funkcjonariusza celnego” na określenie „Podpis i pieczęć funkcjonariusza Służby Celno-Skarbowej”, z odpowiednią zmianą w języku angielskim i francuskim.</w:t>
      </w:r>
    </w:p>
    <w:p w:rsidR="00ED3B64" w:rsidRPr="005A56D0" w:rsidRDefault="00ED3B64" w:rsidP="00ED3B64">
      <w:pPr>
        <w:spacing w:after="120" w:line="264" w:lineRule="auto"/>
        <w:jc w:val="both"/>
        <w:rPr>
          <w:rFonts w:ascii="Times New Roman" w:eastAsia="Times New Roman" w:hAnsi="Times New Roman"/>
        </w:rPr>
      </w:pPr>
      <w:r w:rsidRPr="005A56D0">
        <w:rPr>
          <w:rFonts w:ascii="Times New Roman" w:eastAsia="Times New Roman" w:hAnsi="Times New Roman"/>
        </w:rPr>
        <w:t xml:space="preserve">W załączniku nr 6 zmiana polega na zastąpieniu we wzorze </w:t>
      </w:r>
      <w:r w:rsidRPr="005A56D0">
        <w:rPr>
          <w:rFonts w:ascii="Times New Roman" w:eastAsia="Times New Roman" w:hAnsi="Times New Roman"/>
          <w:i/>
        </w:rPr>
        <w:t>Deklaracji celnej eksportowo-importowej dla towarów</w:t>
      </w:r>
      <w:r>
        <w:rPr>
          <w:rFonts w:ascii="Times New Roman" w:eastAsia="Times New Roman" w:hAnsi="Times New Roman"/>
          <w:i/>
        </w:rPr>
        <w:t>,</w:t>
      </w:r>
      <w:r w:rsidRPr="005A56D0">
        <w:rPr>
          <w:rFonts w:ascii="Times New Roman" w:eastAsia="Times New Roman" w:hAnsi="Times New Roman"/>
          <w:i/>
        </w:rPr>
        <w:t xml:space="preserve"> które są własnością wojsk</w:t>
      </w:r>
      <w:r w:rsidRPr="005A56D0">
        <w:rPr>
          <w:rFonts w:ascii="Times New Roman" w:eastAsia="Times New Roman" w:hAnsi="Times New Roman"/>
        </w:rPr>
        <w:t xml:space="preserve"> wyrazów „urząd celny” oraz „służby celne” na określenie „organ celny” oraz wyrazów „Podpis i pieczęć funkcjonariusza celnego” na określenie „Podpis i pieczęć funkcjonariusza Służby Celno-Skarbowej”, z odpowiednią zmianą w języku angielskim.</w:t>
      </w:r>
    </w:p>
    <w:p w:rsidR="00ED3B64" w:rsidRDefault="00ED3B64" w:rsidP="00ED3B64">
      <w:pPr>
        <w:spacing w:after="120" w:line="264" w:lineRule="auto"/>
        <w:jc w:val="both"/>
        <w:rPr>
          <w:rFonts w:ascii="Times New Roman" w:hAnsi="Times New Roman"/>
        </w:rPr>
      </w:pPr>
      <w:r w:rsidRPr="005A56D0">
        <w:rPr>
          <w:rFonts w:ascii="Times New Roman" w:eastAsia="Times New Roman" w:hAnsi="Times New Roman"/>
          <w:b/>
        </w:rPr>
        <w:t>Ad 5.</w:t>
      </w:r>
      <w:r w:rsidRPr="005A56D0">
        <w:rPr>
          <w:rFonts w:ascii="Times New Roman" w:eastAsia="Times New Roman" w:hAnsi="Times New Roman"/>
        </w:rPr>
        <w:t xml:space="preserve"> </w:t>
      </w:r>
      <w:r w:rsidRPr="005A56D0">
        <w:rPr>
          <w:rFonts w:ascii="Times New Roman" w:hAnsi="Times New Roman"/>
        </w:rPr>
        <w:t>W § 1 w pkt 8 zmieniono w załączniku nr 7 przepis ust. 2 pkt 1. Zmiana ta jest korektą niewpływającą na istotę tego przepisu i wynika z dostosowania jego brzmienia do art. 96 ust. 1, art. 99 i art. 115 UKC.</w:t>
      </w:r>
    </w:p>
    <w:p w:rsidR="00ED3B64" w:rsidRDefault="00ED3B64" w:rsidP="00ED3B64">
      <w:pPr>
        <w:spacing w:after="120" w:line="264" w:lineRule="auto"/>
        <w:jc w:val="both"/>
        <w:rPr>
          <w:rFonts w:ascii="Times New Roman" w:hAnsi="Times New Roman"/>
        </w:rPr>
      </w:pPr>
    </w:p>
    <w:p w:rsidR="00ED3B64" w:rsidRPr="00ED3B64" w:rsidRDefault="00ED3B64" w:rsidP="00ED3B64">
      <w:pPr>
        <w:spacing w:after="120" w:line="264" w:lineRule="auto"/>
        <w:jc w:val="both"/>
        <w:rPr>
          <w:rFonts w:ascii="Times New Roman" w:hAnsi="Times New Roman"/>
          <w:b/>
          <w:i/>
        </w:rPr>
      </w:pPr>
      <w:r w:rsidRPr="00ED3B64">
        <w:rPr>
          <w:rFonts w:ascii="Times New Roman" w:hAnsi="Times New Roman"/>
          <w:b/>
          <w:i/>
        </w:rPr>
        <w:t>Sporządzono w Departamencie Ceł MF</w:t>
      </w:r>
    </w:p>
    <w:p w:rsidR="00ED3B64" w:rsidRPr="00ED3B64" w:rsidRDefault="00ED3B64" w:rsidP="00ED3B64">
      <w:pPr>
        <w:spacing w:after="120" w:line="264" w:lineRule="auto"/>
        <w:jc w:val="both"/>
        <w:rPr>
          <w:rFonts w:ascii="Times New Roman" w:hAnsi="Times New Roman"/>
          <w:b/>
          <w:i/>
        </w:rPr>
      </w:pPr>
      <w:r>
        <w:rPr>
          <w:rFonts w:ascii="Times New Roman" w:hAnsi="Times New Roman"/>
          <w:b/>
          <w:i/>
        </w:rPr>
        <w:t>d</w:t>
      </w:r>
      <w:r w:rsidRPr="00ED3B64">
        <w:rPr>
          <w:rFonts w:ascii="Times New Roman" w:hAnsi="Times New Roman"/>
          <w:b/>
          <w:i/>
        </w:rPr>
        <w:t>nia 4.10.2017 r.</w:t>
      </w:r>
    </w:p>
    <w:p w:rsidR="007B671B" w:rsidRDefault="00922A85"/>
    <w:sectPr w:rsidR="007B671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A85" w:rsidRDefault="00922A85" w:rsidP="00ED3B64">
      <w:r>
        <w:separator/>
      </w:r>
    </w:p>
  </w:endnote>
  <w:endnote w:type="continuationSeparator" w:id="0">
    <w:p w:rsidR="00922A85" w:rsidRDefault="00922A85" w:rsidP="00ED3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2E5" w:rsidRDefault="002002E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7460039"/>
      <w:docPartObj>
        <w:docPartGallery w:val="Page Numbers (Bottom of Page)"/>
        <w:docPartUnique/>
      </w:docPartObj>
    </w:sdtPr>
    <w:sdtContent>
      <w:bookmarkStart w:id="0" w:name="_GoBack" w:displacedByCustomXml="prev"/>
      <w:bookmarkEnd w:id="0" w:displacedByCustomXml="prev"/>
      <w:p w:rsidR="002002E5" w:rsidRDefault="002002E5">
        <w:pPr>
          <w:pStyle w:val="Stopka"/>
          <w:jc w:val="right"/>
        </w:pPr>
        <w:r>
          <w:fldChar w:fldCharType="begin"/>
        </w:r>
        <w:r>
          <w:instrText>PAGE   \* MERGEFORMAT</w:instrText>
        </w:r>
        <w:r>
          <w:fldChar w:fldCharType="separate"/>
        </w:r>
        <w:r>
          <w:rPr>
            <w:noProof/>
          </w:rPr>
          <w:t>1</w:t>
        </w:r>
        <w:r>
          <w:fldChar w:fldCharType="end"/>
        </w:r>
      </w:p>
    </w:sdtContent>
  </w:sdt>
  <w:p w:rsidR="002002E5" w:rsidRDefault="002002E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2E5" w:rsidRDefault="002002E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A85" w:rsidRDefault="00922A85" w:rsidP="00ED3B64">
      <w:r>
        <w:separator/>
      </w:r>
    </w:p>
  </w:footnote>
  <w:footnote w:type="continuationSeparator" w:id="0">
    <w:p w:rsidR="00922A85" w:rsidRDefault="00922A85" w:rsidP="00ED3B64">
      <w:r>
        <w:continuationSeparator/>
      </w:r>
    </w:p>
  </w:footnote>
  <w:footnote w:id="1">
    <w:p w:rsidR="00ED3B64" w:rsidRDefault="00ED3B64" w:rsidP="00ED3B64">
      <w:pPr>
        <w:pStyle w:val="Tekstprzypisudolnego"/>
      </w:pPr>
      <w:r>
        <w:rPr>
          <w:rStyle w:val="Odwoanieprzypisudolnego"/>
        </w:rPr>
        <w:footnoteRef/>
      </w:r>
      <w:r>
        <w:rPr>
          <w:vertAlign w:val="superscript"/>
        </w:rPr>
        <w:t>)</w:t>
      </w:r>
      <w:r w:rsidRPr="007A73E4">
        <w:t xml:space="preserve"> </w:t>
      </w:r>
      <w:r>
        <w:t>Zmiana wymienionego rozporządzenia została ogłoszona w Dz. Urz. L 101 z 13.04.2017, str. 205.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2E5" w:rsidRDefault="002002E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2E5" w:rsidRDefault="002002E5">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2E5" w:rsidRDefault="002002E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6A39"/>
    <w:multiLevelType w:val="hybridMultilevel"/>
    <w:tmpl w:val="9D569D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B64"/>
    <w:rsid w:val="000D42CC"/>
    <w:rsid w:val="002002E5"/>
    <w:rsid w:val="0056029E"/>
    <w:rsid w:val="00922A85"/>
    <w:rsid w:val="009A35DE"/>
    <w:rsid w:val="00AA5A65"/>
    <w:rsid w:val="00E405F7"/>
    <w:rsid w:val="00ED3B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D3B64"/>
    <w:pPr>
      <w:spacing w:after="0" w:line="240" w:lineRule="auto"/>
    </w:pPr>
    <w:rPr>
      <w:rFonts w:ascii="Cambria" w:eastAsia="Cambria" w:hAnsi="Cambria"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Superscript,SUPERS,BVI fnr,Footnote symbol,Footnote,(Footnote Reference),Footnote reference number,note TESI,EN Footnote Reference,Voetnootverwijzing,Times 10 Point,Exposant 3 Point,Appel note de bas de"/>
    <w:rsid w:val="00ED3B64"/>
    <w:rPr>
      <w:rFonts w:cs="Times New Roman"/>
      <w:vertAlign w:val="superscript"/>
    </w:rPr>
  </w:style>
  <w:style w:type="paragraph" w:customStyle="1" w:styleId="ARTartustawynprozporzdzenia">
    <w:name w:val="ART(§) – art. ustawy (§ np. rozporządzenia)"/>
    <w:uiPriority w:val="11"/>
    <w:qFormat/>
    <w:rsid w:val="00ED3B64"/>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styleId="Tekstprzypisudolnego">
    <w:name w:val="footnote text"/>
    <w:basedOn w:val="Normalny"/>
    <w:link w:val="TekstprzypisudolnegoZnak"/>
    <w:uiPriority w:val="99"/>
    <w:semiHidden/>
    <w:unhideWhenUsed/>
    <w:rsid w:val="00ED3B64"/>
    <w:rPr>
      <w:rFonts w:ascii="Times New Roman" w:eastAsia="Calibri"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ED3B64"/>
    <w:rPr>
      <w:rFonts w:ascii="Times New Roman" w:eastAsia="Calibri" w:hAnsi="Times New Roman" w:cs="Times New Roman"/>
      <w:sz w:val="20"/>
      <w:szCs w:val="20"/>
      <w:lang w:eastAsia="pl-PL"/>
    </w:rPr>
  </w:style>
  <w:style w:type="paragraph" w:styleId="Akapitzlist">
    <w:name w:val="List Paragraph"/>
    <w:basedOn w:val="Normalny"/>
    <w:uiPriority w:val="72"/>
    <w:qFormat/>
    <w:rsid w:val="00ED3B64"/>
    <w:pPr>
      <w:ind w:left="720"/>
      <w:contextualSpacing/>
    </w:pPr>
  </w:style>
  <w:style w:type="paragraph" w:styleId="Nagwek">
    <w:name w:val="header"/>
    <w:basedOn w:val="Normalny"/>
    <w:link w:val="NagwekZnak"/>
    <w:uiPriority w:val="99"/>
    <w:unhideWhenUsed/>
    <w:rsid w:val="002002E5"/>
    <w:pPr>
      <w:tabs>
        <w:tab w:val="center" w:pos="4536"/>
        <w:tab w:val="right" w:pos="9072"/>
      </w:tabs>
    </w:pPr>
  </w:style>
  <w:style w:type="character" w:customStyle="1" w:styleId="NagwekZnak">
    <w:name w:val="Nagłówek Znak"/>
    <w:basedOn w:val="Domylnaczcionkaakapitu"/>
    <w:link w:val="Nagwek"/>
    <w:uiPriority w:val="99"/>
    <w:rsid w:val="002002E5"/>
    <w:rPr>
      <w:rFonts w:ascii="Cambria" w:eastAsia="Cambria" w:hAnsi="Cambria" w:cs="Times New Roman"/>
      <w:sz w:val="24"/>
      <w:szCs w:val="24"/>
    </w:rPr>
  </w:style>
  <w:style w:type="paragraph" w:styleId="Stopka">
    <w:name w:val="footer"/>
    <w:basedOn w:val="Normalny"/>
    <w:link w:val="StopkaZnak"/>
    <w:uiPriority w:val="99"/>
    <w:unhideWhenUsed/>
    <w:rsid w:val="002002E5"/>
    <w:pPr>
      <w:tabs>
        <w:tab w:val="center" w:pos="4536"/>
        <w:tab w:val="right" w:pos="9072"/>
      </w:tabs>
    </w:pPr>
  </w:style>
  <w:style w:type="character" w:customStyle="1" w:styleId="StopkaZnak">
    <w:name w:val="Stopka Znak"/>
    <w:basedOn w:val="Domylnaczcionkaakapitu"/>
    <w:link w:val="Stopka"/>
    <w:uiPriority w:val="99"/>
    <w:rsid w:val="002002E5"/>
    <w:rPr>
      <w:rFonts w:ascii="Cambria" w:eastAsia="Cambria"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D3B64"/>
    <w:pPr>
      <w:spacing w:after="0" w:line="240" w:lineRule="auto"/>
    </w:pPr>
    <w:rPr>
      <w:rFonts w:ascii="Cambria" w:eastAsia="Cambria" w:hAnsi="Cambria"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Superscript,SUPERS,BVI fnr,Footnote symbol,Footnote,(Footnote Reference),Footnote reference number,note TESI,EN Footnote Reference,Voetnootverwijzing,Times 10 Point,Exposant 3 Point,Appel note de bas de"/>
    <w:rsid w:val="00ED3B64"/>
    <w:rPr>
      <w:rFonts w:cs="Times New Roman"/>
      <w:vertAlign w:val="superscript"/>
    </w:rPr>
  </w:style>
  <w:style w:type="paragraph" w:customStyle="1" w:styleId="ARTartustawynprozporzdzenia">
    <w:name w:val="ART(§) – art. ustawy (§ np. rozporządzenia)"/>
    <w:uiPriority w:val="11"/>
    <w:qFormat/>
    <w:rsid w:val="00ED3B64"/>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styleId="Tekstprzypisudolnego">
    <w:name w:val="footnote text"/>
    <w:basedOn w:val="Normalny"/>
    <w:link w:val="TekstprzypisudolnegoZnak"/>
    <w:uiPriority w:val="99"/>
    <w:semiHidden/>
    <w:unhideWhenUsed/>
    <w:rsid w:val="00ED3B64"/>
    <w:rPr>
      <w:rFonts w:ascii="Times New Roman" w:eastAsia="Calibri"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ED3B64"/>
    <w:rPr>
      <w:rFonts w:ascii="Times New Roman" w:eastAsia="Calibri" w:hAnsi="Times New Roman" w:cs="Times New Roman"/>
      <w:sz w:val="20"/>
      <w:szCs w:val="20"/>
      <w:lang w:eastAsia="pl-PL"/>
    </w:rPr>
  </w:style>
  <w:style w:type="paragraph" w:styleId="Akapitzlist">
    <w:name w:val="List Paragraph"/>
    <w:basedOn w:val="Normalny"/>
    <w:uiPriority w:val="72"/>
    <w:qFormat/>
    <w:rsid w:val="00ED3B64"/>
    <w:pPr>
      <w:ind w:left="720"/>
      <w:contextualSpacing/>
    </w:pPr>
  </w:style>
  <w:style w:type="paragraph" w:styleId="Nagwek">
    <w:name w:val="header"/>
    <w:basedOn w:val="Normalny"/>
    <w:link w:val="NagwekZnak"/>
    <w:uiPriority w:val="99"/>
    <w:unhideWhenUsed/>
    <w:rsid w:val="002002E5"/>
    <w:pPr>
      <w:tabs>
        <w:tab w:val="center" w:pos="4536"/>
        <w:tab w:val="right" w:pos="9072"/>
      </w:tabs>
    </w:pPr>
  </w:style>
  <w:style w:type="character" w:customStyle="1" w:styleId="NagwekZnak">
    <w:name w:val="Nagłówek Znak"/>
    <w:basedOn w:val="Domylnaczcionkaakapitu"/>
    <w:link w:val="Nagwek"/>
    <w:uiPriority w:val="99"/>
    <w:rsid w:val="002002E5"/>
    <w:rPr>
      <w:rFonts w:ascii="Cambria" w:eastAsia="Cambria" w:hAnsi="Cambria" w:cs="Times New Roman"/>
      <w:sz w:val="24"/>
      <w:szCs w:val="24"/>
    </w:rPr>
  </w:style>
  <w:style w:type="paragraph" w:styleId="Stopka">
    <w:name w:val="footer"/>
    <w:basedOn w:val="Normalny"/>
    <w:link w:val="StopkaZnak"/>
    <w:uiPriority w:val="99"/>
    <w:unhideWhenUsed/>
    <w:rsid w:val="002002E5"/>
    <w:pPr>
      <w:tabs>
        <w:tab w:val="center" w:pos="4536"/>
        <w:tab w:val="right" w:pos="9072"/>
      </w:tabs>
    </w:pPr>
  </w:style>
  <w:style w:type="character" w:customStyle="1" w:styleId="StopkaZnak">
    <w:name w:val="Stopka Znak"/>
    <w:basedOn w:val="Domylnaczcionkaakapitu"/>
    <w:link w:val="Stopka"/>
    <w:uiPriority w:val="99"/>
    <w:rsid w:val="002002E5"/>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2229</Words>
  <Characters>13380</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15578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Wasilewska Marzena</dc:creator>
  <cp:lastModifiedBy>Wasilewska Marzena</cp:lastModifiedBy>
  <cp:revision>4</cp:revision>
  <dcterms:created xsi:type="dcterms:W3CDTF">2017-10-04T10:26:00Z</dcterms:created>
  <dcterms:modified xsi:type="dcterms:W3CDTF">2017-10-04T12:23:00Z</dcterms:modified>
</cp:coreProperties>
</file>