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36" w:rsidRDefault="00974936" w:rsidP="00974936">
      <w:pPr>
        <w:spacing w:after="120" w:line="264" w:lineRule="auto"/>
        <w:ind w:right="26"/>
        <w:jc w:val="both"/>
        <w:rPr>
          <w:rFonts w:ascii="Times New Roman" w:hAnsi="Times New Roman"/>
          <w:b/>
        </w:rPr>
      </w:pPr>
      <w:bookmarkStart w:id="0" w:name="_GoBack"/>
      <w:bookmarkEnd w:id="0"/>
      <w:r w:rsidRPr="00CF5EB8">
        <w:rPr>
          <w:rFonts w:ascii="Times New Roman" w:hAnsi="Times New Roman"/>
          <w:b/>
        </w:rPr>
        <w:t>201</w:t>
      </w:r>
      <w:r>
        <w:rPr>
          <w:rFonts w:ascii="Times New Roman" w:hAnsi="Times New Roman"/>
          <w:b/>
        </w:rPr>
        <w:t>8</w:t>
      </w:r>
      <w:r w:rsidRPr="00CF5EB8">
        <w:rPr>
          <w:rFonts w:ascii="Times New Roman" w:hAnsi="Times New Roman"/>
          <w:b/>
        </w:rPr>
        <w:t>.</w:t>
      </w:r>
      <w:r>
        <w:rPr>
          <w:rFonts w:ascii="Times New Roman" w:hAnsi="Times New Roman"/>
          <w:b/>
        </w:rPr>
        <w:t>05</w:t>
      </w:r>
      <w:r w:rsidRPr="00CF5EB8">
        <w:rPr>
          <w:rFonts w:ascii="Times New Roman" w:hAnsi="Times New Roman"/>
          <w:b/>
        </w:rPr>
        <w:t>.</w:t>
      </w:r>
      <w:r>
        <w:rPr>
          <w:rFonts w:ascii="Times New Roman" w:hAnsi="Times New Roman"/>
          <w:b/>
        </w:rPr>
        <w:t>21</w:t>
      </w:r>
    </w:p>
    <w:p w:rsidR="00974936" w:rsidRDefault="00974936" w:rsidP="00974936">
      <w:pPr>
        <w:autoSpaceDE w:val="0"/>
        <w:autoSpaceDN w:val="0"/>
        <w:adjustRightInd w:val="0"/>
        <w:jc w:val="both"/>
        <w:rPr>
          <w:rFonts w:ascii="Times New Roman" w:eastAsiaTheme="minorHAnsi" w:hAnsi="Times New Roman"/>
          <w:b/>
          <w:bCs/>
        </w:rPr>
      </w:pPr>
      <w:r w:rsidRPr="0093089F">
        <w:rPr>
          <w:rFonts w:ascii="Times New Roman" w:eastAsiaTheme="minorHAnsi" w:hAnsi="Times New Roman"/>
          <w:b/>
          <w:bCs/>
        </w:rPr>
        <w:t xml:space="preserve">Informacja dla użytkowników „Instrukcji wypełniania zgłoszeń celnych” dotycząca zmian </w:t>
      </w:r>
      <w:r w:rsidR="002C1116">
        <w:rPr>
          <w:rFonts w:ascii="Times New Roman" w:eastAsiaTheme="minorHAnsi" w:hAnsi="Times New Roman"/>
          <w:b/>
          <w:bCs/>
        </w:rPr>
        <w:t xml:space="preserve">w zakresie </w:t>
      </w:r>
      <w:r w:rsidR="00DB238E">
        <w:rPr>
          <w:rFonts w:ascii="Times New Roman" w:eastAsiaTheme="minorHAnsi" w:hAnsi="Times New Roman"/>
          <w:b/>
          <w:bCs/>
        </w:rPr>
        <w:t xml:space="preserve">m. in. </w:t>
      </w:r>
      <w:r w:rsidR="002C1116">
        <w:rPr>
          <w:rFonts w:ascii="Times New Roman" w:eastAsiaTheme="minorHAnsi" w:hAnsi="Times New Roman"/>
          <w:b/>
          <w:bCs/>
        </w:rPr>
        <w:t>zasad wypełniania zgłoszeń wywozowych, zgłoszeń w procedurach specjalnych związanych z audytowaniem zabezpieczenia</w:t>
      </w:r>
      <w:r w:rsidR="00DB238E">
        <w:rPr>
          <w:rFonts w:ascii="Times New Roman" w:eastAsiaTheme="minorHAnsi" w:hAnsi="Times New Roman"/>
          <w:b/>
          <w:bCs/>
        </w:rPr>
        <w:t>, kodów preferencji, kodów powiązań procedur</w:t>
      </w:r>
      <w:r>
        <w:rPr>
          <w:rFonts w:ascii="Times New Roman" w:eastAsiaTheme="minorHAnsi" w:hAnsi="Times New Roman"/>
          <w:b/>
          <w:bCs/>
        </w:rPr>
        <w:t xml:space="preserve">. </w:t>
      </w:r>
    </w:p>
    <w:p w:rsidR="002C1116" w:rsidRPr="0093089F" w:rsidRDefault="002C1116" w:rsidP="00974936">
      <w:pPr>
        <w:autoSpaceDE w:val="0"/>
        <w:autoSpaceDN w:val="0"/>
        <w:adjustRightInd w:val="0"/>
        <w:jc w:val="both"/>
        <w:rPr>
          <w:rFonts w:ascii="Times New Roman" w:hAnsi="Times New Roman"/>
          <w:b/>
        </w:rPr>
      </w:pPr>
    </w:p>
    <w:p w:rsidR="0073065F" w:rsidRPr="00FA1758" w:rsidRDefault="0073065F" w:rsidP="0073065F">
      <w:pPr>
        <w:spacing w:after="120" w:line="264" w:lineRule="auto"/>
        <w:ind w:right="26"/>
        <w:jc w:val="both"/>
        <w:rPr>
          <w:rFonts w:ascii="Times New Roman" w:hAnsi="Times New Roman"/>
        </w:rPr>
      </w:pPr>
      <w:r>
        <w:rPr>
          <w:rFonts w:ascii="Times New Roman" w:hAnsi="Times New Roman"/>
        </w:rPr>
        <w:t>Ministerstwo</w:t>
      </w:r>
      <w:r w:rsidRPr="00FA1758">
        <w:rPr>
          <w:rFonts w:ascii="Times New Roman" w:hAnsi="Times New Roman"/>
        </w:rPr>
        <w:t xml:space="preserve"> Finansów uprzejmie informuje, że w </w:t>
      </w:r>
      <w:r w:rsidRPr="00FA1758">
        <w:rPr>
          <w:rFonts w:ascii="Times New Roman" w:hAnsi="Times New Roman"/>
          <w:i/>
        </w:rPr>
        <w:t>Instrukcji wypełniania zgłoszeń celnych</w:t>
      </w:r>
      <w:r w:rsidRPr="00FA1758">
        <w:rPr>
          <w:rFonts w:ascii="Times New Roman" w:hAnsi="Times New Roman"/>
        </w:rPr>
        <w:t xml:space="preserve"> w wersji 1.16 z dnia 28.04.2016 r., wprowadza się następujące zmiany:</w:t>
      </w:r>
    </w:p>
    <w:p w:rsidR="0073065F" w:rsidRPr="00772A22" w:rsidRDefault="0073065F" w:rsidP="0073065F">
      <w:pPr>
        <w:spacing w:after="120" w:line="264" w:lineRule="auto"/>
        <w:ind w:right="26"/>
        <w:jc w:val="both"/>
        <w:rPr>
          <w:rFonts w:ascii="Times New Roman" w:hAnsi="Times New Roman"/>
          <w:b/>
        </w:rPr>
      </w:pPr>
      <w:r>
        <w:rPr>
          <w:rFonts w:ascii="Times New Roman" w:hAnsi="Times New Roman"/>
          <w:b/>
        </w:rPr>
        <w:t>1.</w:t>
      </w:r>
      <w:r w:rsidRPr="00772A22">
        <w:rPr>
          <w:rFonts w:ascii="Times New Roman" w:hAnsi="Times New Roman"/>
          <w:b/>
        </w:rPr>
        <w:t xml:space="preserve"> </w:t>
      </w:r>
      <w:r>
        <w:rPr>
          <w:rFonts w:ascii="Times New Roman" w:hAnsi="Times New Roman"/>
          <w:b/>
        </w:rPr>
        <w:t>W</w:t>
      </w:r>
      <w:r w:rsidRPr="00772A22">
        <w:rPr>
          <w:rFonts w:ascii="Times New Roman" w:hAnsi="Times New Roman"/>
          <w:b/>
        </w:rPr>
        <w:t xml:space="preserve"> części II Sekcja A:</w:t>
      </w:r>
    </w:p>
    <w:p w:rsidR="0073065F" w:rsidRPr="00FA1758" w:rsidRDefault="0073065F" w:rsidP="0073065F">
      <w:pPr>
        <w:spacing w:after="120" w:line="264" w:lineRule="auto"/>
        <w:ind w:left="720" w:right="26"/>
        <w:jc w:val="both"/>
        <w:rPr>
          <w:rFonts w:ascii="Times New Roman" w:hAnsi="Times New Roman"/>
        </w:rPr>
      </w:pPr>
      <w:r w:rsidRPr="00181517">
        <w:rPr>
          <w:rFonts w:ascii="Times New Roman" w:hAnsi="Times New Roman"/>
          <w:b/>
        </w:rPr>
        <w:t>a)</w:t>
      </w:r>
      <w:r w:rsidRPr="00FA1758">
        <w:rPr>
          <w:rFonts w:ascii="Times New Roman" w:hAnsi="Times New Roman"/>
        </w:rPr>
        <w:t xml:space="preserve"> </w:t>
      </w:r>
      <w:r w:rsidRPr="00FA1758">
        <w:rPr>
          <w:rFonts w:ascii="Times New Roman" w:hAnsi="Times New Roman"/>
          <w:b/>
        </w:rPr>
        <w:t>w opisie pola  2</w:t>
      </w:r>
      <w:r w:rsidRPr="00FA1758">
        <w:rPr>
          <w:rFonts w:ascii="Times New Roman" w:hAnsi="Times New Roman"/>
        </w:rPr>
        <w:t>,</w:t>
      </w:r>
      <w:r w:rsidRPr="00FA1758">
        <w:rPr>
          <w:rFonts w:ascii="Times New Roman" w:hAnsi="Times New Roman"/>
          <w:b/>
        </w:rPr>
        <w:t xml:space="preserve"> </w:t>
      </w:r>
      <w:r w:rsidRPr="00FA1758">
        <w:rPr>
          <w:rFonts w:ascii="Times New Roman" w:hAnsi="Times New Roman"/>
        </w:rPr>
        <w:t>pkt 1 i 2 (str. 18 i 19), otrzymuje następujące brzmienie (zmiany dotyczą wypełniania atrybutu „TIN” – w opisie pkt 1 i 2 zmiany zostały wyboldowane):</w:t>
      </w:r>
    </w:p>
    <w:p w:rsidR="0073065F" w:rsidRPr="00FA1758" w:rsidRDefault="0073065F" w:rsidP="0073065F">
      <w:pPr>
        <w:widowControl w:val="0"/>
        <w:jc w:val="both"/>
        <w:rPr>
          <w:rFonts w:ascii="Times New Roman" w:hAnsi="Times New Roman"/>
          <w:b/>
          <w:u w:val="single"/>
        </w:rPr>
      </w:pPr>
      <w:r w:rsidRPr="00FA1758">
        <w:rPr>
          <w:rFonts w:ascii="Times New Roman" w:hAnsi="Times New Roman"/>
          <w:b/>
          <w:u w:val="single"/>
        </w:rPr>
        <w:t>„POLE 2 – Nadawca/Eksporter</w:t>
      </w:r>
    </w:p>
    <w:p w:rsidR="0073065F" w:rsidRPr="00FA1758" w:rsidRDefault="0073065F" w:rsidP="0073065F">
      <w:pPr>
        <w:widowControl w:val="0"/>
        <w:jc w:val="both"/>
        <w:rPr>
          <w:rFonts w:ascii="Times New Roman" w:hAnsi="Times New Roman"/>
          <w:b/>
          <w:u w:val="single"/>
        </w:rPr>
      </w:pPr>
    </w:p>
    <w:p w:rsidR="0073065F" w:rsidRPr="00FA1758" w:rsidRDefault="0073065F" w:rsidP="0073065F">
      <w:pPr>
        <w:widowControl w:val="0"/>
        <w:jc w:val="both"/>
        <w:rPr>
          <w:rFonts w:ascii="Times New Roman" w:hAnsi="Times New Roman"/>
          <w:b/>
          <w:u w:val="single"/>
        </w:rPr>
      </w:pPr>
      <w:r w:rsidRPr="00FA1758">
        <w:rPr>
          <w:rFonts w:ascii="Times New Roman" w:hAnsi="Times New Roman"/>
          <w:b/>
          <w:u w:val="single"/>
        </w:rPr>
        <w:t>1) Komunikat IE 515 przekazywany do systemu AES</w:t>
      </w:r>
    </w:p>
    <w:p w:rsidR="0073065F" w:rsidRPr="00FA1758" w:rsidRDefault="0073065F" w:rsidP="0073065F">
      <w:pPr>
        <w:widowControl w:val="0"/>
        <w:jc w:val="both"/>
        <w:rPr>
          <w:rFonts w:ascii="Times New Roman" w:hAnsi="Times New Roman"/>
          <w:b/>
          <w:i/>
        </w:rPr>
      </w:pPr>
    </w:p>
    <w:p w:rsidR="0073065F" w:rsidRPr="00FA1758" w:rsidRDefault="0073065F" w:rsidP="0073065F">
      <w:pPr>
        <w:widowControl w:val="0"/>
        <w:jc w:val="both"/>
        <w:rPr>
          <w:rFonts w:ascii="Times New Roman" w:eastAsia="Times New Roman" w:hAnsi="Times New Roman"/>
          <w:bCs/>
        </w:rPr>
      </w:pPr>
      <w:r w:rsidRPr="00FA1758">
        <w:rPr>
          <w:rFonts w:ascii="Times New Roman" w:eastAsia="Times New Roman" w:hAnsi="Times New Roman"/>
          <w:bCs/>
        </w:rPr>
        <w:t xml:space="preserve">Następujące dane podaje się w odpowiednich atrybutach, w sposób wskazany w specyfikacji SXML, opublikowanej na stronie </w:t>
      </w:r>
      <w:hyperlink r:id="rId7" w:history="1">
        <w:r w:rsidRPr="00FA1758">
          <w:rPr>
            <w:rFonts w:ascii="Times New Roman" w:eastAsia="Times New Roman" w:hAnsi="Times New Roman"/>
            <w:bCs/>
            <w:color w:val="0000FF"/>
            <w:u w:val="single"/>
          </w:rPr>
          <w:t>www.puesc.gov.pl</w:t>
        </w:r>
      </w:hyperlink>
      <w:r w:rsidRPr="00FA1758">
        <w:rPr>
          <w:rFonts w:ascii="Times New Roman" w:eastAsia="Times New Roman" w:hAnsi="Times New Roman"/>
          <w:bCs/>
        </w:rPr>
        <w:t xml:space="preserve"> w zakładce SISC/AES:</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pełne imię i nazwisko (nazwę) oraz adres osoby (podmiotu), na rzecz której dokonano zgłoszenia celnego; w przypadku gdy w atrybucie „nazwa”  nie mieści się pełna nazwa firmy (35 znaków), to w tym atrybucie powinna być podana nazwa skrócona firmy w takim brzmieniu, w jakim jest to wpisane w nazwie skróconej w systemie EORI;</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nr REGON (14 znaków - jeśli osoba posiada REGON 9-znakowy, należy go dopełnić zerami). W </w:t>
      </w:r>
      <w:r w:rsidRPr="00FA1758">
        <w:rPr>
          <w:rFonts w:ascii="Times New Roman" w:hAnsi="Times New Roman"/>
          <w:bCs/>
        </w:rPr>
        <w:t>przypadku, gdy brak jest REGON atrybutu nie  należy podawać,</w:t>
      </w:r>
    </w:p>
    <w:p w:rsidR="0073065F" w:rsidRPr="00FA1758" w:rsidRDefault="0073065F" w:rsidP="0073065F">
      <w:pPr>
        <w:widowControl w:val="0"/>
        <w:numPr>
          <w:ilvl w:val="0"/>
          <w:numId w:val="1"/>
        </w:numPr>
        <w:tabs>
          <w:tab w:val="num" w:pos="1080"/>
        </w:tabs>
        <w:spacing w:after="120" w:line="276" w:lineRule="auto"/>
        <w:jc w:val="both"/>
        <w:rPr>
          <w:rFonts w:ascii="Times New Roman" w:hAnsi="Times New Roman"/>
          <w:b/>
        </w:rPr>
      </w:pPr>
      <w:r w:rsidRPr="00FA1758">
        <w:rPr>
          <w:rFonts w:ascii="Times New Roman" w:hAnsi="Times New Roman"/>
        </w:rPr>
        <w:t>numer identyfikacyjny podawany w atrybucie TIN,</w:t>
      </w:r>
      <w:r w:rsidRPr="00FA1758">
        <w:rPr>
          <w:rFonts w:ascii="Times New Roman" w:hAnsi="Times New Roman"/>
          <w:b/>
        </w:rPr>
        <w:t xml:space="preserve">  </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numer EORI (podawany w odrębnym atrybucie, obok elementu TIN). </w:t>
      </w:r>
    </w:p>
    <w:p w:rsidR="0073065F" w:rsidRPr="00FA1758" w:rsidRDefault="0073065F" w:rsidP="0073065F">
      <w:pPr>
        <w:widowControl w:val="0"/>
        <w:spacing w:after="120" w:line="276" w:lineRule="auto"/>
        <w:jc w:val="both"/>
        <w:rPr>
          <w:rFonts w:ascii="Times New Roman" w:hAnsi="Times New Roman"/>
        </w:rPr>
      </w:pPr>
      <w:r w:rsidRPr="00FA1758">
        <w:rPr>
          <w:rFonts w:ascii="Times New Roman" w:hAnsi="Times New Roman"/>
        </w:rPr>
        <w:t xml:space="preserve">W Polsce obowiązkiem EORI objęci są jedynie przedsiębiorcy. Podmioty nie będące przedsiębiorcami nie będą mogły uzyskać w kraju numeru EORI. </w:t>
      </w:r>
    </w:p>
    <w:p w:rsidR="0073065F" w:rsidRPr="00FA1758" w:rsidRDefault="0073065F" w:rsidP="0073065F">
      <w:pPr>
        <w:widowControl w:val="0"/>
        <w:spacing w:after="120" w:line="276" w:lineRule="auto"/>
        <w:jc w:val="both"/>
        <w:rPr>
          <w:rFonts w:ascii="Times New Roman" w:hAnsi="Times New Roman"/>
        </w:rPr>
      </w:pPr>
      <w:r w:rsidRPr="00FA1758">
        <w:rPr>
          <w:rFonts w:ascii="Times New Roman" w:hAnsi="Times New Roman"/>
        </w:rPr>
        <w:t>Podmioty nieobjęte obowiązkiem EORI, w atrybucie EORI podają wpis NATURAL PERSON, a w atrybucie TIN  identyfikowane są w zgłoszeniu celnym poprzez obligatoryjnie podawany:</w:t>
      </w:r>
    </w:p>
    <w:p w:rsidR="0073065F" w:rsidRPr="00FA1758" w:rsidRDefault="0073065F" w:rsidP="0073065F">
      <w:pPr>
        <w:widowControl w:val="0"/>
        <w:numPr>
          <w:ilvl w:val="0"/>
          <w:numId w:val="2"/>
        </w:numPr>
        <w:tabs>
          <w:tab w:val="left" w:pos="1080"/>
        </w:tabs>
        <w:spacing w:after="120" w:line="276" w:lineRule="auto"/>
        <w:ind w:left="1080" w:hanging="537"/>
        <w:jc w:val="both"/>
        <w:rPr>
          <w:rFonts w:ascii="Times New Roman" w:hAnsi="Times New Roman"/>
        </w:rPr>
      </w:pPr>
      <w:r w:rsidRPr="00FA1758">
        <w:rPr>
          <w:rFonts w:ascii="Times New Roman" w:hAnsi="Times New Roman"/>
        </w:rPr>
        <w:t xml:space="preserve">PLNIP – </w:t>
      </w:r>
      <w:r w:rsidRPr="00FA1758">
        <w:rPr>
          <w:rFonts w:ascii="Times New Roman" w:hAnsi="Times New Roman"/>
          <w:b/>
        </w:rPr>
        <w:t>w przypadku podmiotów polskich oraz podmiotów zagranicznych zarejestrowanych w Polsce do celów podatkowych</w:t>
      </w:r>
      <w:r w:rsidRPr="00FA1758">
        <w:rPr>
          <w:rFonts w:ascii="Times New Roman" w:hAnsi="Times New Roman"/>
        </w:rPr>
        <w:t xml:space="preserve"> </w:t>
      </w:r>
      <w:r w:rsidRPr="00FA1758">
        <w:rPr>
          <w:rFonts w:ascii="Times New Roman" w:hAnsi="Times New Roman"/>
          <w:b/>
        </w:rPr>
        <w:t>należy podać w atrybucie TIN numer identyfikacji podatkowej (NIP) poprzedzony znakami „PL”; w przypadku pozostałych podmiotów zagranicznych należy podać nr VAT UE z kraju głównej siedziby tego podmiotu</w:t>
      </w:r>
      <w:r w:rsidRPr="00FA1758">
        <w:rPr>
          <w:rFonts w:ascii="Times New Roman" w:hAnsi="Times New Roman"/>
        </w:rPr>
        <w:t>, albo</w:t>
      </w:r>
    </w:p>
    <w:p w:rsidR="0073065F" w:rsidRPr="00FA1758" w:rsidRDefault="0073065F" w:rsidP="0073065F">
      <w:pPr>
        <w:widowControl w:val="0"/>
        <w:numPr>
          <w:ilvl w:val="0"/>
          <w:numId w:val="2"/>
        </w:numPr>
        <w:tabs>
          <w:tab w:val="left" w:pos="1080"/>
        </w:tabs>
        <w:spacing w:after="120" w:line="276" w:lineRule="auto"/>
        <w:ind w:left="1080" w:hanging="537"/>
        <w:jc w:val="both"/>
        <w:rPr>
          <w:rFonts w:ascii="Times New Roman" w:hAnsi="Times New Roman"/>
        </w:rPr>
      </w:pPr>
      <w:r w:rsidRPr="00FA1758">
        <w:rPr>
          <w:rFonts w:ascii="Times New Roman" w:hAnsi="Times New Roman"/>
        </w:rPr>
        <w:t>numer PESEL - w przypadku krajowej osoby fizycznej, albo</w:t>
      </w:r>
    </w:p>
    <w:p w:rsidR="0073065F" w:rsidRPr="00FA1758" w:rsidRDefault="0073065F" w:rsidP="0073065F">
      <w:pPr>
        <w:widowControl w:val="0"/>
        <w:numPr>
          <w:ilvl w:val="0"/>
          <w:numId w:val="2"/>
        </w:numPr>
        <w:tabs>
          <w:tab w:val="left" w:pos="1080"/>
        </w:tabs>
        <w:spacing w:after="120" w:line="276" w:lineRule="auto"/>
        <w:ind w:left="1080" w:hanging="537"/>
        <w:jc w:val="both"/>
        <w:rPr>
          <w:rFonts w:ascii="Times New Roman" w:hAnsi="Times New Roman"/>
        </w:rPr>
      </w:pPr>
      <w:r w:rsidRPr="00FA1758">
        <w:rPr>
          <w:rFonts w:ascii="Times New Roman" w:hAnsi="Times New Roman"/>
        </w:rPr>
        <w:t xml:space="preserve">inny numer identyfikacyjny – </w:t>
      </w:r>
      <w:r w:rsidRPr="00FA1758">
        <w:rPr>
          <w:rFonts w:ascii="Times New Roman" w:hAnsi="Times New Roman"/>
          <w:b/>
        </w:rPr>
        <w:t xml:space="preserve">numer dokumentu potwierdzającego tożsamość </w:t>
      </w:r>
      <w:r w:rsidRPr="00FA1758">
        <w:rPr>
          <w:rFonts w:ascii="Times New Roman" w:hAnsi="Times New Roman"/>
          <w:b/>
        </w:rPr>
        <w:lastRenderedPageBreak/>
        <w:t>zagranicznej osoby fizycznej (np. paszportu).</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b/>
          <w:u w:val="single"/>
        </w:rPr>
      </w:pPr>
      <w:r w:rsidRPr="00FA1758">
        <w:rPr>
          <w:rFonts w:ascii="Times New Roman" w:hAnsi="Times New Roman"/>
          <w:b/>
          <w:u w:val="single"/>
        </w:rPr>
        <w:t>2) Zgłoszenie w formie pisemnej na dokumencie Wywozowy SAD/Bezpieczeństwo (ESS)</w:t>
      </w:r>
    </w:p>
    <w:p w:rsidR="0073065F" w:rsidRPr="00FA1758" w:rsidRDefault="0073065F" w:rsidP="0073065F">
      <w:pPr>
        <w:widowControl w:val="0"/>
        <w:ind w:left="567"/>
        <w:jc w:val="both"/>
        <w:rPr>
          <w:rFonts w:ascii="Times New Roman" w:hAnsi="Times New Roman"/>
        </w:rPr>
      </w:pPr>
    </w:p>
    <w:p w:rsidR="0073065F" w:rsidRPr="00FA1758" w:rsidRDefault="0073065F" w:rsidP="0073065F">
      <w:pPr>
        <w:widowControl w:val="0"/>
        <w:jc w:val="both"/>
        <w:rPr>
          <w:rFonts w:ascii="Times New Roman" w:hAnsi="Times New Roman"/>
        </w:rPr>
      </w:pPr>
      <w:r w:rsidRPr="00FA1758">
        <w:rPr>
          <w:rFonts w:ascii="Times New Roman" w:hAnsi="Times New Roman"/>
        </w:rPr>
        <w:t xml:space="preserve">W tym polu podać należy: </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pełne imię i nazwisko (nazwę) oraz adres osoby (podmiotu), na rzecz której dokonano zgłoszenia celnego, oraz w prawym dolnym rogu jej numer REGON (14 znaków - jeśli osoba posiada REGON 9-znakowy, należy go dopełnić zerami); jeżeli nazwa firmy przekracza 35 znaków, to jako „nazwa” podmiotu powinna być podana nazwa skrócona firmy w takim brzmieniu, w jakim jest to wpisane w nazwie skróconej w systemie EORI;</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w prawym górnym rogu numer EORI osoby. </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rPr>
      </w:pPr>
      <w:r w:rsidRPr="00FA1758">
        <w:rPr>
          <w:rFonts w:ascii="Times New Roman" w:hAnsi="Times New Roman"/>
        </w:rPr>
        <w:t>Podmioty nieobjęte obowiązkiem EORI, zamiast nr EORI w prawym górnym rogu pola podają:</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PLNIP – </w:t>
      </w:r>
      <w:r w:rsidRPr="00FA1758">
        <w:rPr>
          <w:rFonts w:ascii="Times New Roman" w:hAnsi="Times New Roman"/>
          <w:b/>
        </w:rPr>
        <w:t>w przypadku podmiotów polskich oraz podmiotów zagranicznych zarejestrowanych w Polsce do celów podatkowych</w:t>
      </w:r>
      <w:r w:rsidRPr="00FA1758">
        <w:rPr>
          <w:rFonts w:ascii="Times New Roman" w:hAnsi="Times New Roman"/>
        </w:rPr>
        <w:t xml:space="preserve"> </w:t>
      </w:r>
      <w:r w:rsidRPr="00FA1758">
        <w:rPr>
          <w:rFonts w:ascii="Times New Roman" w:hAnsi="Times New Roman"/>
          <w:b/>
        </w:rPr>
        <w:t xml:space="preserve">należy podać numer identyfikacji podatkowej (NIP) poprzedzony znakami „PL”; w przypadku pozostałych podmiotów zagranicznych należy podać nr VAT UE z kraju głównej siedziby tego podmiotu, </w:t>
      </w:r>
      <w:r w:rsidRPr="00FA1758">
        <w:rPr>
          <w:rFonts w:ascii="Times New Roman" w:hAnsi="Times New Roman"/>
        </w:rPr>
        <w:t>albo</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numer PESEL - w przypadku krajowej osoby fizycznej, albo</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inny numer identyfikacyjny – </w:t>
      </w:r>
      <w:r w:rsidRPr="00FA1758">
        <w:rPr>
          <w:rFonts w:ascii="Times New Roman" w:hAnsi="Times New Roman"/>
          <w:b/>
        </w:rPr>
        <w:t>numer dokumentu potwierdzającego tożsamość zagranicznej osoby fizycznej (np. paszportu).</w:t>
      </w:r>
    </w:p>
    <w:p w:rsidR="0073065F" w:rsidRPr="00FA1758" w:rsidRDefault="0073065F" w:rsidP="0073065F">
      <w:pPr>
        <w:widowControl w:val="0"/>
        <w:spacing w:after="120" w:line="276" w:lineRule="auto"/>
        <w:jc w:val="both"/>
        <w:rPr>
          <w:rFonts w:ascii="Times New Roman" w:hAnsi="Times New Roman"/>
        </w:rPr>
      </w:pPr>
      <w:r w:rsidRPr="00FA1758">
        <w:rPr>
          <w:rFonts w:ascii="Times New Roman" w:hAnsi="Times New Roman"/>
        </w:rPr>
        <w:t>W przypadku przesyłek zbiorczych, gdy zgłoszenie dokonywane jest w formie pisemnej bez zastosowania metod informatycznych, należy wpisać „Różni - 00200” i załączyć listę eksporterów/nadawców do zgłoszenia.”;</w:t>
      </w:r>
    </w:p>
    <w:p w:rsidR="0073065F" w:rsidRPr="00FA1758" w:rsidRDefault="0073065F" w:rsidP="0073065F">
      <w:pPr>
        <w:spacing w:before="240"/>
        <w:jc w:val="both"/>
        <w:rPr>
          <w:rFonts w:ascii="Times New Roman" w:hAnsi="Times New Roman"/>
        </w:rPr>
      </w:pPr>
    </w:p>
    <w:p w:rsidR="0073065F" w:rsidRPr="00FA1758" w:rsidRDefault="0073065F" w:rsidP="0073065F">
      <w:pPr>
        <w:spacing w:after="120" w:line="264" w:lineRule="auto"/>
        <w:ind w:left="720" w:right="26"/>
        <w:jc w:val="both"/>
        <w:rPr>
          <w:rFonts w:ascii="Times New Roman" w:hAnsi="Times New Roman"/>
        </w:rPr>
      </w:pPr>
      <w:r w:rsidRPr="00CE4C8E">
        <w:rPr>
          <w:rFonts w:ascii="Times New Roman" w:hAnsi="Times New Roman"/>
          <w:b/>
        </w:rPr>
        <w:t>b)</w:t>
      </w:r>
      <w:r w:rsidRPr="00772A22">
        <w:rPr>
          <w:rFonts w:ascii="Times New Roman" w:hAnsi="Times New Roman"/>
        </w:rPr>
        <w:t xml:space="preserve"> </w:t>
      </w:r>
      <w:r w:rsidRPr="00772A22">
        <w:rPr>
          <w:rFonts w:ascii="Times New Roman" w:hAnsi="Times New Roman"/>
          <w:b/>
        </w:rPr>
        <w:t>w opisie pola  14</w:t>
      </w:r>
      <w:r w:rsidRPr="00772A22">
        <w:rPr>
          <w:rFonts w:ascii="Times New Roman" w:hAnsi="Times New Roman"/>
        </w:rPr>
        <w:t>,</w:t>
      </w:r>
      <w:r w:rsidRPr="00772A22">
        <w:rPr>
          <w:rFonts w:ascii="Times New Roman" w:hAnsi="Times New Roman"/>
          <w:b/>
        </w:rPr>
        <w:t xml:space="preserve"> </w:t>
      </w:r>
      <w:r w:rsidRPr="00772A22">
        <w:rPr>
          <w:rFonts w:ascii="Times New Roman" w:hAnsi="Times New Roman"/>
        </w:rPr>
        <w:t>pkt 1 i 2 (str. 23-25), otrzymuje następujące brzmienie (zmiany dotyczą wypełniania atrybutu „TIN” – w opisie pkt 1 i 2 zmiany zostały wyboldowane):</w:t>
      </w:r>
    </w:p>
    <w:p w:rsidR="0073065F" w:rsidRPr="00FA1758" w:rsidRDefault="0073065F" w:rsidP="0073065F">
      <w:pPr>
        <w:spacing w:before="240"/>
        <w:jc w:val="both"/>
        <w:rPr>
          <w:rFonts w:ascii="Times New Roman" w:hAnsi="Times New Roman"/>
        </w:rPr>
      </w:pP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b/>
          <w:u w:val="single"/>
        </w:rPr>
      </w:pPr>
      <w:r w:rsidRPr="00FA1758">
        <w:rPr>
          <w:rFonts w:ascii="Times New Roman" w:hAnsi="Times New Roman"/>
          <w:b/>
          <w:u w:val="single"/>
        </w:rPr>
        <w:t>„1) Komunikat IE 515 przekazywany do systemu AES</w:t>
      </w:r>
    </w:p>
    <w:p w:rsidR="0073065F" w:rsidRPr="00FA1758" w:rsidRDefault="0073065F" w:rsidP="0073065F">
      <w:pPr>
        <w:widowControl w:val="0"/>
        <w:jc w:val="both"/>
        <w:rPr>
          <w:rFonts w:ascii="Times New Roman" w:hAnsi="Times New Roman"/>
          <w:b/>
          <w:i/>
        </w:rPr>
      </w:pPr>
    </w:p>
    <w:p w:rsidR="0073065F" w:rsidRPr="00FA1758" w:rsidRDefault="0073065F" w:rsidP="0073065F">
      <w:pPr>
        <w:widowControl w:val="0"/>
        <w:jc w:val="both"/>
        <w:rPr>
          <w:rFonts w:ascii="Times New Roman" w:hAnsi="Times New Roman"/>
        </w:rPr>
      </w:pPr>
      <w:r w:rsidRPr="00FA1758">
        <w:rPr>
          <w:rFonts w:ascii="Times New Roman" w:hAnsi="Times New Roman"/>
          <w:bCs/>
        </w:rPr>
        <w:t>Następujące dane podaje się w odpowiednich atrybutach, w sposób wskazany w specyfikacji XML:</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numPr>
          <w:ilvl w:val="0"/>
          <w:numId w:val="11"/>
        </w:numPr>
        <w:tabs>
          <w:tab w:val="num" w:pos="1080"/>
        </w:tabs>
        <w:spacing w:after="120" w:line="276" w:lineRule="auto"/>
        <w:ind w:left="1080" w:hanging="543"/>
        <w:jc w:val="both"/>
        <w:rPr>
          <w:rFonts w:ascii="Times New Roman" w:hAnsi="Times New Roman"/>
        </w:rPr>
      </w:pPr>
      <w:r w:rsidRPr="00FA1758">
        <w:rPr>
          <w:rFonts w:ascii="Times New Roman" w:hAnsi="Times New Roman"/>
        </w:rPr>
        <w:t xml:space="preserve">pełne imię i nazwisko (nazwę) oraz adres zgłaszającego/przedstawiciela, </w:t>
      </w:r>
    </w:p>
    <w:p w:rsidR="0073065F" w:rsidRPr="00FA1758" w:rsidRDefault="0073065F" w:rsidP="0073065F">
      <w:pPr>
        <w:widowControl w:val="0"/>
        <w:numPr>
          <w:ilvl w:val="0"/>
          <w:numId w:val="12"/>
        </w:numPr>
        <w:tabs>
          <w:tab w:val="num" w:pos="1080"/>
        </w:tabs>
        <w:spacing w:after="120" w:line="276" w:lineRule="auto"/>
        <w:jc w:val="both"/>
        <w:rPr>
          <w:rFonts w:ascii="Times New Roman" w:hAnsi="Times New Roman"/>
        </w:rPr>
      </w:pPr>
      <w:r w:rsidRPr="00FA1758">
        <w:rPr>
          <w:rFonts w:ascii="Times New Roman" w:hAnsi="Times New Roman"/>
        </w:rPr>
        <w:lastRenderedPageBreak/>
        <w:t xml:space="preserve">nr REGON (14 znaków - jeśli osoba posiada REGON 9-znakowy, należy go dopełnić zerami). W </w:t>
      </w:r>
      <w:r w:rsidRPr="00FA1758">
        <w:rPr>
          <w:rFonts w:ascii="Times New Roman" w:hAnsi="Times New Roman"/>
          <w:bCs/>
        </w:rPr>
        <w:t>przypadku, gdy brak jest REGON atrybutu nie  należy podawać,</w:t>
      </w:r>
    </w:p>
    <w:p w:rsidR="0073065F" w:rsidRPr="00FA1758" w:rsidRDefault="0073065F" w:rsidP="0073065F">
      <w:pPr>
        <w:widowControl w:val="0"/>
        <w:numPr>
          <w:ilvl w:val="0"/>
          <w:numId w:val="12"/>
        </w:numPr>
        <w:tabs>
          <w:tab w:val="num" w:pos="1080"/>
        </w:tabs>
        <w:spacing w:after="120" w:line="276" w:lineRule="auto"/>
        <w:jc w:val="both"/>
        <w:rPr>
          <w:rFonts w:ascii="Times New Roman" w:hAnsi="Times New Roman"/>
        </w:rPr>
      </w:pPr>
      <w:r w:rsidRPr="00FA1758">
        <w:rPr>
          <w:rFonts w:ascii="Times New Roman" w:hAnsi="Times New Roman"/>
        </w:rPr>
        <w:t>numer identyfikacyjny podawany w atrybucie TIN,</w:t>
      </w:r>
    </w:p>
    <w:p w:rsidR="0073065F" w:rsidRPr="00FA1758" w:rsidRDefault="0073065F" w:rsidP="0073065F">
      <w:pPr>
        <w:widowControl w:val="0"/>
        <w:numPr>
          <w:ilvl w:val="0"/>
          <w:numId w:val="12"/>
        </w:numPr>
        <w:tabs>
          <w:tab w:val="num" w:pos="1080"/>
        </w:tabs>
        <w:spacing w:after="120" w:line="276" w:lineRule="auto"/>
        <w:jc w:val="both"/>
        <w:rPr>
          <w:rFonts w:ascii="Times New Roman" w:hAnsi="Times New Roman"/>
        </w:rPr>
      </w:pPr>
      <w:r w:rsidRPr="00FA1758">
        <w:rPr>
          <w:rFonts w:ascii="Times New Roman" w:hAnsi="Times New Roman"/>
        </w:rPr>
        <w:t xml:space="preserve">numer EORI (podawany w odrębnym atrybucie, obok elementu TIN). </w:t>
      </w:r>
    </w:p>
    <w:p w:rsidR="0073065F" w:rsidRPr="00FA1758" w:rsidRDefault="0073065F" w:rsidP="0073065F">
      <w:pPr>
        <w:widowControl w:val="0"/>
        <w:ind w:left="567"/>
        <w:jc w:val="both"/>
        <w:rPr>
          <w:rFonts w:ascii="Times New Roman" w:hAnsi="Times New Roman"/>
        </w:rPr>
      </w:pPr>
    </w:p>
    <w:p w:rsidR="0073065F" w:rsidRPr="00FA1758" w:rsidRDefault="0073065F" w:rsidP="0073065F">
      <w:pPr>
        <w:widowControl w:val="0"/>
        <w:jc w:val="both"/>
        <w:rPr>
          <w:rFonts w:ascii="Times New Roman" w:hAnsi="Times New Roman"/>
        </w:rPr>
      </w:pPr>
      <w:r w:rsidRPr="00FA1758">
        <w:rPr>
          <w:rFonts w:ascii="Times New Roman" w:hAnsi="Times New Roman"/>
        </w:rPr>
        <w:t xml:space="preserve">W Polsce obowiązkiem EORI objęci są jedynie przedsiębiorcy. Podmioty nie będące przedsiębiorcami nie będą mogły uzyskać w kraju numeru EORI. </w:t>
      </w:r>
    </w:p>
    <w:p w:rsidR="0073065F" w:rsidRPr="00FA1758" w:rsidRDefault="0073065F" w:rsidP="0073065F">
      <w:pPr>
        <w:widowControl w:val="0"/>
        <w:spacing w:after="120"/>
        <w:jc w:val="both"/>
        <w:rPr>
          <w:rFonts w:ascii="Times New Roman" w:hAnsi="Times New Roman"/>
        </w:rPr>
      </w:pPr>
      <w:r w:rsidRPr="00FA1758">
        <w:rPr>
          <w:rFonts w:ascii="Times New Roman" w:hAnsi="Times New Roman"/>
        </w:rPr>
        <w:t>Podmioty nie objęte obowiązkiem EORI, w atrybucie EORI podają wpis NATURAL PERSON, a w atrybucie TIN  identyfikowane są w zgłoszeniu celnym poprzez obligatoryjnie podawany:</w:t>
      </w:r>
    </w:p>
    <w:p w:rsidR="0073065F" w:rsidRPr="00FA1758" w:rsidRDefault="0073065F" w:rsidP="0073065F">
      <w:pPr>
        <w:widowControl w:val="0"/>
        <w:numPr>
          <w:ilvl w:val="0"/>
          <w:numId w:val="2"/>
        </w:numPr>
        <w:tabs>
          <w:tab w:val="num" w:pos="1080"/>
        </w:tabs>
        <w:spacing w:after="120" w:line="276" w:lineRule="auto"/>
        <w:ind w:left="1080" w:hanging="537"/>
        <w:jc w:val="both"/>
        <w:rPr>
          <w:rFonts w:ascii="Times New Roman" w:hAnsi="Times New Roman"/>
        </w:rPr>
      </w:pPr>
      <w:r w:rsidRPr="00FA1758">
        <w:rPr>
          <w:rFonts w:ascii="Times New Roman" w:hAnsi="Times New Roman"/>
        </w:rPr>
        <w:t xml:space="preserve">PLNIP - </w:t>
      </w:r>
      <w:r w:rsidRPr="00FA1758">
        <w:rPr>
          <w:rFonts w:ascii="Times New Roman" w:hAnsi="Times New Roman"/>
          <w:b/>
        </w:rPr>
        <w:t>w przypadku podmiotów polskich oraz podmiotów zagranicznych zarejestrowanych w Polsce do celów podatkowych</w:t>
      </w:r>
      <w:r w:rsidRPr="00FA1758">
        <w:rPr>
          <w:rFonts w:ascii="Times New Roman" w:hAnsi="Times New Roman"/>
        </w:rPr>
        <w:t xml:space="preserve"> </w:t>
      </w:r>
      <w:r w:rsidRPr="00FA1758">
        <w:rPr>
          <w:rFonts w:ascii="Times New Roman" w:hAnsi="Times New Roman"/>
          <w:b/>
        </w:rPr>
        <w:t>należy podać w atrybucie TIN numer identyfikacji podatkowej (NIP) poprzedzony znakami „PL”; w przypadku pozostałych podmiotów zagranicznych należy podać nr VAT UE z kraju głównej siedziby tego podmiotu</w:t>
      </w:r>
      <w:r w:rsidRPr="00FA1758">
        <w:rPr>
          <w:rFonts w:ascii="Times New Roman" w:hAnsi="Times New Roman"/>
        </w:rPr>
        <w:t>, albo</w:t>
      </w:r>
    </w:p>
    <w:p w:rsidR="0073065F" w:rsidRPr="00FA1758" w:rsidRDefault="0073065F" w:rsidP="0073065F">
      <w:pPr>
        <w:widowControl w:val="0"/>
        <w:numPr>
          <w:ilvl w:val="0"/>
          <w:numId w:val="2"/>
        </w:numPr>
        <w:tabs>
          <w:tab w:val="num" w:pos="1080"/>
        </w:tabs>
        <w:spacing w:after="120" w:line="276" w:lineRule="auto"/>
        <w:ind w:left="1080" w:hanging="537"/>
        <w:jc w:val="both"/>
        <w:rPr>
          <w:rFonts w:ascii="Times New Roman" w:hAnsi="Times New Roman"/>
        </w:rPr>
      </w:pPr>
      <w:r w:rsidRPr="00FA1758">
        <w:rPr>
          <w:rFonts w:ascii="Times New Roman" w:hAnsi="Times New Roman"/>
        </w:rPr>
        <w:t>numer PESEL - w przypadku krajowej osoby fizycznej, albo</w:t>
      </w:r>
    </w:p>
    <w:p w:rsidR="0073065F" w:rsidRPr="00FA1758" w:rsidRDefault="0073065F" w:rsidP="0073065F">
      <w:pPr>
        <w:widowControl w:val="0"/>
        <w:numPr>
          <w:ilvl w:val="0"/>
          <w:numId w:val="2"/>
        </w:numPr>
        <w:tabs>
          <w:tab w:val="num" w:pos="1080"/>
        </w:tabs>
        <w:spacing w:after="120" w:line="276" w:lineRule="auto"/>
        <w:ind w:left="1080" w:hanging="537"/>
        <w:jc w:val="both"/>
        <w:rPr>
          <w:rFonts w:ascii="Times New Roman" w:hAnsi="Times New Roman"/>
        </w:rPr>
      </w:pPr>
      <w:r w:rsidRPr="00FA1758">
        <w:rPr>
          <w:rFonts w:ascii="Times New Roman" w:hAnsi="Times New Roman"/>
        </w:rPr>
        <w:t xml:space="preserve">inny numer identyfikacyjny – </w:t>
      </w:r>
      <w:r w:rsidRPr="00FA1758">
        <w:rPr>
          <w:rFonts w:ascii="Times New Roman" w:hAnsi="Times New Roman"/>
          <w:b/>
        </w:rPr>
        <w:t>numer dokumentu potwierdzającego tożsamość zagranicznej osoby fizycznej (np. paszportu).</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b/>
          <w:u w:val="single"/>
        </w:rPr>
      </w:pPr>
      <w:r w:rsidRPr="00FA1758">
        <w:rPr>
          <w:rFonts w:ascii="Times New Roman" w:hAnsi="Times New Roman"/>
          <w:b/>
          <w:u w:val="single"/>
        </w:rPr>
        <w:t>2) Zgłoszenie w formie pisemnej na dokumencie Wywozowy SAD/Bezpieczeństwo (ESS)</w:t>
      </w:r>
    </w:p>
    <w:p w:rsidR="0073065F" w:rsidRPr="00FA1758" w:rsidRDefault="0073065F" w:rsidP="0073065F">
      <w:pPr>
        <w:widowControl w:val="0"/>
        <w:ind w:left="567"/>
        <w:jc w:val="both"/>
        <w:rPr>
          <w:rFonts w:ascii="Times New Roman" w:hAnsi="Times New Roman"/>
        </w:rPr>
      </w:pPr>
    </w:p>
    <w:p w:rsidR="0073065F" w:rsidRPr="00FA1758" w:rsidRDefault="0073065F" w:rsidP="0073065F">
      <w:pPr>
        <w:widowControl w:val="0"/>
        <w:jc w:val="both"/>
        <w:rPr>
          <w:rFonts w:ascii="Times New Roman" w:hAnsi="Times New Roman"/>
        </w:rPr>
      </w:pPr>
      <w:r w:rsidRPr="00FA1758">
        <w:rPr>
          <w:rFonts w:ascii="Times New Roman" w:hAnsi="Times New Roman"/>
        </w:rPr>
        <w:t xml:space="preserve">W tym polu podać należy: </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numPr>
          <w:ilvl w:val="0"/>
          <w:numId w:val="1"/>
        </w:numPr>
        <w:tabs>
          <w:tab w:val="num" w:pos="1080"/>
        </w:tabs>
        <w:spacing w:after="120" w:line="276" w:lineRule="auto"/>
        <w:ind w:left="1080"/>
        <w:jc w:val="both"/>
        <w:rPr>
          <w:rFonts w:ascii="Times New Roman" w:hAnsi="Times New Roman"/>
        </w:rPr>
      </w:pPr>
      <w:r w:rsidRPr="00FA1758">
        <w:rPr>
          <w:rFonts w:ascii="Times New Roman" w:hAnsi="Times New Roman"/>
        </w:rPr>
        <w:t>pełne imię i nazwisko (nazwę) oraz adres zgłaszającego/przedstawiciela oraz  w prawym dolnym rogu jej numer REGON, o ile podmiot posiada ten numer(14 znaków - jeśli osoba posiada REGON 9-znakowy, należy go dopełnić zerami),</w:t>
      </w:r>
    </w:p>
    <w:p w:rsidR="0073065F" w:rsidRPr="00FA1758" w:rsidRDefault="0073065F" w:rsidP="0073065F">
      <w:pPr>
        <w:widowControl w:val="0"/>
        <w:numPr>
          <w:ilvl w:val="0"/>
          <w:numId w:val="1"/>
        </w:numPr>
        <w:tabs>
          <w:tab w:val="num" w:pos="1080"/>
        </w:tabs>
        <w:spacing w:after="120" w:line="276" w:lineRule="auto"/>
        <w:ind w:left="1080"/>
        <w:jc w:val="both"/>
        <w:rPr>
          <w:rFonts w:ascii="Times New Roman" w:hAnsi="Times New Roman"/>
        </w:rPr>
      </w:pPr>
      <w:r w:rsidRPr="00FA1758">
        <w:rPr>
          <w:rFonts w:ascii="Times New Roman" w:hAnsi="Times New Roman"/>
        </w:rPr>
        <w:t xml:space="preserve">w prawym górnym rogu numer EORI osoby. </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rPr>
      </w:pPr>
      <w:r w:rsidRPr="00FA1758">
        <w:rPr>
          <w:rFonts w:ascii="Times New Roman" w:hAnsi="Times New Roman"/>
        </w:rPr>
        <w:t>Podmioty nieobjęte obowiązkiem EORI, zamiast nr EORI podają:</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PLNIP - </w:t>
      </w:r>
      <w:r w:rsidRPr="00FA1758">
        <w:rPr>
          <w:rFonts w:ascii="Times New Roman" w:hAnsi="Times New Roman"/>
          <w:b/>
        </w:rPr>
        <w:t>w przypadku podmiotów polskich oraz podmiotów zagranicznych zarejestrowanych w Polsce do celów podatkowych</w:t>
      </w:r>
      <w:r w:rsidRPr="00FA1758">
        <w:rPr>
          <w:rFonts w:ascii="Times New Roman" w:hAnsi="Times New Roman"/>
        </w:rPr>
        <w:t xml:space="preserve"> </w:t>
      </w:r>
      <w:r w:rsidRPr="00FA1758">
        <w:rPr>
          <w:rFonts w:ascii="Times New Roman" w:hAnsi="Times New Roman"/>
          <w:b/>
        </w:rPr>
        <w:t>należy podać w atrybucie TIN numer identyfikacji podatkowej (NIP) poprzedzony znakami „PL”; w przypadku pozostałych podmiotów zagranicznych należy podać nr VAT UE z kraju głównej siedziby tego podmiotu</w:t>
      </w:r>
      <w:r w:rsidRPr="00FA1758">
        <w:rPr>
          <w:rFonts w:ascii="Times New Roman" w:hAnsi="Times New Roman"/>
        </w:rPr>
        <w:t>,, albo</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numer PESEL - w przypadku krajowej osoby fizycznej, albo</w:t>
      </w:r>
    </w:p>
    <w:p w:rsidR="0073065F" w:rsidRPr="00FA1758" w:rsidRDefault="0073065F" w:rsidP="0073065F">
      <w:pPr>
        <w:widowControl w:val="0"/>
        <w:numPr>
          <w:ilvl w:val="0"/>
          <w:numId w:val="1"/>
        </w:numPr>
        <w:tabs>
          <w:tab w:val="num" w:pos="1080"/>
        </w:tabs>
        <w:spacing w:after="120" w:line="276" w:lineRule="auto"/>
        <w:ind w:left="1080" w:hanging="573"/>
        <w:jc w:val="both"/>
        <w:rPr>
          <w:rFonts w:ascii="Times New Roman" w:hAnsi="Times New Roman"/>
        </w:rPr>
      </w:pPr>
      <w:r w:rsidRPr="00FA1758">
        <w:rPr>
          <w:rFonts w:ascii="Times New Roman" w:hAnsi="Times New Roman"/>
        </w:rPr>
        <w:t xml:space="preserve">inny numer identyfikacyjny – </w:t>
      </w:r>
      <w:r w:rsidRPr="00FA1758">
        <w:rPr>
          <w:rFonts w:ascii="Times New Roman" w:hAnsi="Times New Roman"/>
          <w:b/>
        </w:rPr>
        <w:t>numer dokumentu potwierdzającego tożsamość zagranicznej osoby fizycznej (np. paszportu).</w:t>
      </w:r>
      <w:r w:rsidRPr="00FA1758">
        <w:rPr>
          <w:rFonts w:ascii="Times New Roman" w:hAnsi="Times New Roman"/>
        </w:rPr>
        <w:t xml:space="preserve"> </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jc w:val="both"/>
        <w:rPr>
          <w:rFonts w:ascii="Times New Roman" w:hAnsi="Times New Roman"/>
        </w:rPr>
      </w:pPr>
      <w:r w:rsidRPr="00FA1758">
        <w:rPr>
          <w:rFonts w:ascii="Times New Roman" w:hAnsi="Times New Roman"/>
        </w:rPr>
        <w:t>Bez względu na formę zgłoszenia, jeżeli:</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numPr>
          <w:ilvl w:val="0"/>
          <w:numId w:val="1"/>
        </w:numPr>
        <w:tabs>
          <w:tab w:val="num" w:pos="570"/>
        </w:tabs>
        <w:spacing w:after="120" w:line="276" w:lineRule="auto"/>
        <w:ind w:left="1140" w:hanging="573"/>
        <w:jc w:val="both"/>
        <w:rPr>
          <w:rFonts w:ascii="Times New Roman" w:hAnsi="Times New Roman"/>
        </w:rPr>
      </w:pPr>
      <w:r w:rsidRPr="00FA1758">
        <w:rPr>
          <w:rFonts w:ascii="Times New Roman" w:hAnsi="Times New Roman"/>
        </w:rPr>
        <w:lastRenderedPageBreak/>
        <w:t xml:space="preserve">przedstawicielem pośrednim jest agent celny lub agencja celna działająca przez agenta celnego, </w:t>
      </w:r>
    </w:p>
    <w:p w:rsidR="0073065F" w:rsidRPr="00FA1758" w:rsidRDefault="0073065F" w:rsidP="0073065F">
      <w:pPr>
        <w:widowControl w:val="0"/>
        <w:numPr>
          <w:ilvl w:val="0"/>
          <w:numId w:val="1"/>
        </w:numPr>
        <w:tabs>
          <w:tab w:val="num" w:pos="570"/>
        </w:tabs>
        <w:spacing w:after="120" w:line="276" w:lineRule="auto"/>
        <w:ind w:left="1140" w:hanging="573"/>
        <w:jc w:val="both"/>
        <w:rPr>
          <w:rFonts w:ascii="Times New Roman" w:hAnsi="Times New Roman"/>
        </w:rPr>
      </w:pPr>
      <w:r w:rsidRPr="00FA1758">
        <w:rPr>
          <w:rFonts w:ascii="Times New Roman" w:hAnsi="Times New Roman"/>
        </w:rPr>
        <w:t>przedstawicielem bezpośrednim jest agent celny, lub osoba, w imieniu której czynności dokonuje upoważniony pracownik wpisany na listę agentów celnych,</w:t>
      </w:r>
    </w:p>
    <w:p w:rsidR="0073065F" w:rsidRPr="00FA1758" w:rsidRDefault="0073065F" w:rsidP="0073065F">
      <w:pPr>
        <w:widowControl w:val="0"/>
        <w:numPr>
          <w:ilvl w:val="0"/>
          <w:numId w:val="1"/>
        </w:numPr>
        <w:tabs>
          <w:tab w:val="num" w:pos="570"/>
        </w:tabs>
        <w:spacing w:after="120" w:line="276" w:lineRule="auto"/>
        <w:ind w:left="1140" w:hanging="573"/>
        <w:jc w:val="both"/>
        <w:rPr>
          <w:rFonts w:ascii="Times New Roman" w:hAnsi="Times New Roman"/>
        </w:rPr>
      </w:pPr>
      <w:r w:rsidRPr="00FA1758">
        <w:rPr>
          <w:rFonts w:ascii="Times New Roman" w:hAnsi="Times New Roman"/>
        </w:rPr>
        <w:t>w imieniu firmy występuje pracownik będący agentem celnym,</w:t>
      </w:r>
    </w:p>
    <w:p w:rsidR="0073065F" w:rsidRPr="00FA1758" w:rsidRDefault="0073065F" w:rsidP="0073065F">
      <w:pPr>
        <w:widowControl w:val="0"/>
        <w:jc w:val="both"/>
        <w:rPr>
          <w:rFonts w:ascii="Times New Roman" w:hAnsi="Times New Roman"/>
        </w:rPr>
      </w:pPr>
      <w:r w:rsidRPr="00FA1758">
        <w:rPr>
          <w:rFonts w:ascii="Times New Roman" w:hAnsi="Times New Roman"/>
        </w:rPr>
        <w:t xml:space="preserve">dodatkowo w stosownym atrybucie (forma elektroniczna) bądź w lewym dolnym rogu pola (forma papierowa) </w:t>
      </w:r>
      <w:r w:rsidRPr="000F3102">
        <w:rPr>
          <w:rFonts w:ascii="Times New Roman" w:hAnsi="Times New Roman"/>
        </w:rPr>
        <w:t>należy podać datę i numer wpisu na listę agentów celnych.</w:t>
      </w:r>
    </w:p>
    <w:p w:rsidR="0073065F" w:rsidRPr="00FA1758" w:rsidRDefault="0073065F" w:rsidP="0073065F">
      <w:pPr>
        <w:widowControl w:val="0"/>
        <w:jc w:val="both"/>
        <w:rPr>
          <w:rFonts w:ascii="Times New Roman" w:hAnsi="Times New Roman"/>
        </w:rPr>
      </w:pPr>
    </w:p>
    <w:p w:rsidR="0073065F" w:rsidRPr="00FA1758" w:rsidRDefault="0073065F" w:rsidP="0073065F">
      <w:pPr>
        <w:spacing w:after="120" w:line="264" w:lineRule="auto"/>
        <w:ind w:right="26"/>
        <w:jc w:val="both"/>
        <w:rPr>
          <w:rFonts w:ascii="Times New Roman" w:hAnsi="Times New Roman"/>
        </w:rPr>
      </w:pPr>
      <w:r w:rsidRPr="00FA1758">
        <w:rPr>
          <w:rFonts w:ascii="Times New Roman" w:hAnsi="Times New Roman"/>
        </w:rPr>
        <w:t xml:space="preserve">Agenci celni zarejestrowani w Polsce powinni podać w zgłoszeniu celnym numer wpisu na listę agentów celnych w następujący sposób: kod kraju (a2) wraz z numerem składającym się z 6 cyfr (od 000001 do 999999), zgodnie ze strukturą numeru podaną w obwieszczeniu Ministra Finansów z dnia 26 sierpnia 2015 r. w sprawie ogłoszenia listy agentów celnych (Dz. Urz. Ministra Finansów z dnia 31 sierpnia 2015 r., poz. 55). </w:t>
      </w:r>
    </w:p>
    <w:p w:rsidR="0073065F" w:rsidRPr="00FA1758" w:rsidRDefault="0073065F" w:rsidP="0073065F">
      <w:pPr>
        <w:spacing w:after="120" w:line="264" w:lineRule="auto"/>
        <w:ind w:left="720" w:right="26"/>
        <w:jc w:val="both"/>
        <w:rPr>
          <w:rFonts w:ascii="Times New Roman" w:hAnsi="Times New Roman"/>
        </w:rPr>
      </w:pPr>
      <w:r w:rsidRPr="00FA1758">
        <w:rPr>
          <w:rFonts w:ascii="Times New Roman" w:hAnsi="Times New Roman"/>
          <w:i/>
        </w:rPr>
        <w:t>Przykład:  PL019999</w:t>
      </w:r>
      <w:r w:rsidRPr="00FA1758">
        <w:rPr>
          <w:rFonts w:ascii="Times New Roman" w:hAnsi="Times New Roman"/>
        </w:rPr>
        <w:t xml:space="preserve"> </w:t>
      </w:r>
      <w:r w:rsidRPr="00FA1758">
        <w:rPr>
          <w:rFonts w:ascii="Times New Roman" w:hAnsi="Times New Roman"/>
        </w:rPr>
        <w:tab/>
      </w:r>
    </w:p>
    <w:p w:rsidR="0073065F" w:rsidRPr="00FA1758" w:rsidRDefault="0073065F" w:rsidP="0073065F">
      <w:pPr>
        <w:widowControl w:val="0"/>
        <w:jc w:val="both"/>
        <w:rPr>
          <w:rFonts w:ascii="Times New Roman" w:eastAsia="Times New Roman" w:hAnsi="Times New Roman"/>
        </w:rPr>
      </w:pPr>
      <w:r w:rsidRPr="00FA1758">
        <w:rPr>
          <w:rFonts w:ascii="Times New Roman" w:hAnsi="Times New Roman"/>
        </w:rPr>
        <w:t>Agenci celni zarejestrowani w innym państwie niż Polska, powinni podać kod kraju rejestracji (a2) a następnie numer nadany im w państwie rejestracji, zgodnie ze strukturą numeru właściwą dla danego państwa.</w:t>
      </w:r>
    </w:p>
    <w:p w:rsidR="0073065F" w:rsidRPr="00FA1758" w:rsidRDefault="0073065F" w:rsidP="0073065F">
      <w:pPr>
        <w:widowControl w:val="0"/>
        <w:jc w:val="both"/>
        <w:rPr>
          <w:rFonts w:ascii="Times New Roman" w:hAnsi="Times New Roman"/>
        </w:rPr>
      </w:pPr>
    </w:p>
    <w:p w:rsidR="0073065F" w:rsidRPr="00FA1758" w:rsidRDefault="0073065F" w:rsidP="0073065F">
      <w:pPr>
        <w:widowControl w:val="0"/>
        <w:spacing w:after="120"/>
        <w:jc w:val="both"/>
        <w:rPr>
          <w:rFonts w:ascii="Times New Roman" w:hAnsi="Times New Roman"/>
          <w:bCs/>
        </w:rPr>
      </w:pPr>
      <w:r w:rsidRPr="00FA1758">
        <w:rPr>
          <w:rFonts w:ascii="Times New Roman" w:hAnsi="Times New Roman"/>
          <w:b/>
        </w:rPr>
        <w:t>Uwaga!</w:t>
      </w:r>
      <w:r w:rsidRPr="00FA1758">
        <w:rPr>
          <w:rFonts w:ascii="Times New Roman" w:hAnsi="Times New Roman"/>
          <w:bCs/>
        </w:rPr>
        <w:t xml:space="preserve"> W przypadku, gdy zgłaszający i nadawca/eksporter są tą samą osobą, w polu tym wpisać należy kod informacji dodatkowej :</w:t>
      </w:r>
    </w:p>
    <w:p w:rsidR="0073065F" w:rsidRPr="00FA1758" w:rsidRDefault="0073065F" w:rsidP="0073065F">
      <w:pPr>
        <w:widowControl w:val="0"/>
        <w:spacing w:after="120"/>
        <w:ind w:left="540"/>
        <w:jc w:val="both"/>
        <w:rPr>
          <w:rFonts w:ascii="Times New Roman" w:hAnsi="Times New Roman"/>
          <w:bCs/>
        </w:rPr>
      </w:pPr>
      <w:r w:rsidRPr="00FA1758">
        <w:rPr>
          <w:rFonts w:ascii="Times New Roman" w:hAnsi="Times New Roman"/>
          <w:bCs/>
        </w:rPr>
        <w:t>a) w przypadku nadawcy - „Nadawca – 00300”,</w:t>
      </w:r>
    </w:p>
    <w:p w:rsidR="0073065F" w:rsidRPr="00FA1758" w:rsidRDefault="0073065F" w:rsidP="0073065F">
      <w:pPr>
        <w:widowControl w:val="0"/>
        <w:spacing w:after="120"/>
        <w:ind w:left="540"/>
        <w:jc w:val="both"/>
        <w:rPr>
          <w:rFonts w:ascii="Times New Roman" w:hAnsi="Times New Roman"/>
          <w:bCs/>
        </w:rPr>
      </w:pPr>
      <w:r w:rsidRPr="00FA1758">
        <w:rPr>
          <w:rFonts w:ascii="Times New Roman" w:hAnsi="Times New Roman"/>
          <w:bCs/>
        </w:rPr>
        <w:t>b) w przypadku eksportera – „Eksporter – 00400”,</w:t>
      </w:r>
    </w:p>
    <w:p w:rsidR="0073065F" w:rsidRPr="00FA1758" w:rsidRDefault="0073065F" w:rsidP="0073065F">
      <w:pPr>
        <w:widowControl w:val="0"/>
        <w:spacing w:after="120"/>
        <w:jc w:val="both"/>
        <w:rPr>
          <w:rFonts w:ascii="Times New Roman" w:hAnsi="Times New Roman"/>
          <w:bCs/>
        </w:rPr>
      </w:pPr>
      <w:r w:rsidRPr="00FA1758">
        <w:rPr>
          <w:rFonts w:ascii="Times New Roman" w:hAnsi="Times New Roman"/>
          <w:bCs/>
        </w:rPr>
        <w:t>przy czym w komunikacie elektronicznym wystarczy podać sam kod np. „00300”.</w:t>
      </w:r>
    </w:p>
    <w:p w:rsidR="0073065F" w:rsidRPr="00FA1758" w:rsidRDefault="0073065F" w:rsidP="0073065F">
      <w:pPr>
        <w:jc w:val="both"/>
        <w:rPr>
          <w:rFonts w:ascii="Times New Roman" w:hAnsi="Times New Roman"/>
          <w:i/>
          <w:iCs/>
        </w:rPr>
      </w:pPr>
    </w:p>
    <w:p w:rsidR="0073065F" w:rsidRPr="00FA1758" w:rsidRDefault="0073065F" w:rsidP="0073065F">
      <w:pPr>
        <w:jc w:val="both"/>
        <w:rPr>
          <w:rFonts w:ascii="Times New Roman" w:hAnsi="Times New Roman"/>
          <w:i/>
          <w:iCs/>
        </w:rPr>
      </w:pPr>
    </w:p>
    <w:p w:rsidR="0073065F" w:rsidRPr="00FA1758" w:rsidRDefault="0073065F" w:rsidP="0073065F">
      <w:pPr>
        <w:jc w:val="both"/>
        <w:rPr>
          <w:rFonts w:ascii="Times New Roman" w:hAnsi="Times New Roman"/>
          <w:i/>
          <w:iCs/>
        </w:rPr>
      </w:pPr>
      <w:r w:rsidRPr="000F3102">
        <w:rPr>
          <w:rFonts w:ascii="Times New Roman" w:hAnsi="Times New Roman"/>
          <w:i/>
          <w:iCs/>
        </w:rPr>
        <w:t>Przykłady :</w:t>
      </w:r>
    </w:p>
    <w:p w:rsidR="0073065F" w:rsidRPr="00FA1758" w:rsidRDefault="0073065F" w:rsidP="0073065F">
      <w:pPr>
        <w:jc w:val="both"/>
        <w:rPr>
          <w:rFonts w:ascii="Times New Roman" w:hAnsi="Times New Roman"/>
          <w:i/>
          <w:iCs/>
        </w:rPr>
      </w:pPr>
    </w:p>
    <w:p w:rsidR="0073065F" w:rsidRPr="00FA1758" w:rsidRDefault="0073065F" w:rsidP="0073065F">
      <w:pPr>
        <w:jc w:val="both"/>
        <w:rPr>
          <w:rFonts w:ascii="Times New Roman" w:hAnsi="Times New Roman"/>
          <w:i/>
          <w:iCs/>
        </w:rPr>
      </w:pPr>
      <w:r w:rsidRPr="00FA1758">
        <w:rPr>
          <w:rFonts w:ascii="Times New Roman" w:hAnsi="Times New Roman"/>
          <w:i/>
          <w:iCs/>
        </w:rPr>
        <w:t>Eksporter działa przez  przedstawiciela pośredniego np. agencje celną. Wpisać należy:</w:t>
      </w:r>
    </w:p>
    <w:p w:rsidR="0073065F" w:rsidRPr="00FA1758" w:rsidRDefault="0073065F" w:rsidP="0073065F">
      <w:pPr>
        <w:jc w:val="both"/>
        <w:rPr>
          <w:rFonts w:ascii="Times New Roman" w:hAnsi="Times New Roman"/>
          <w:i/>
          <w:iCs/>
        </w:rPr>
      </w:pPr>
      <w:r w:rsidRPr="00FA1758">
        <w:rPr>
          <w:rFonts w:ascii="Times New Roman" w:hAnsi="Times New Roman"/>
          <w:i/>
          <w:iCs/>
        </w:rPr>
        <w:t xml:space="preserve"> [3] a następnie nazwisko (nazwę) adres, numer identyfikacyjny (TIN i/lub EORI) i numer REGON przedstawiciela pośredniego. Dodatkowo agent celny działający w imieniu agencji celnej wpisuje datę i numer wpisu na listę agentów celnych.</w:t>
      </w:r>
    </w:p>
    <w:p w:rsidR="0073065F" w:rsidRPr="00FA1758" w:rsidRDefault="0073065F" w:rsidP="0073065F">
      <w:pPr>
        <w:jc w:val="both"/>
        <w:rPr>
          <w:rFonts w:ascii="Times New Roman" w:hAnsi="Times New Roman"/>
          <w:i/>
          <w:iCs/>
        </w:rPr>
      </w:pPr>
    </w:p>
    <w:p w:rsidR="0073065F" w:rsidRPr="00FA1758" w:rsidRDefault="0073065F" w:rsidP="0073065F">
      <w:pPr>
        <w:jc w:val="both"/>
        <w:rPr>
          <w:rFonts w:ascii="Times New Roman" w:hAnsi="Times New Roman"/>
          <w:i/>
          <w:iCs/>
        </w:rPr>
      </w:pPr>
      <w:r w:rsidRPr="00FA1758">
        <w:rPr>
          <w:rFonts w:ascii="Times New Roman" w:hAnsi="Times New Roman"/>
          <w:i/>
          <w:iCs/>
        </w:rPr>
        <w:t>Nadawca działa przez przedstawiciela bezpośredniego np. przez agenta celnego. Wpisać należy:</w:t>
      </w:r>
    </w:p>
    <w:p w:rsidR="0073065F" w:rsidRPr="00FA1758" w:rsidRDefault="0073065F" w:rsidP="0073065F">
      <w:pPr>
        <w:jc w:val="both"/>
        <w:rPr>
          <w:rFonts w:ascii="Times New Roman" w:hAnsi="Times New Roman"/>
          <w:i/>
          <w:iCs/>
        </w:rPr>
      </w:pPr>
      <w:r w:rsidRPr="00FA1758">
        <w:rPr>
          <w:rFonts w:ascii="Times New Roman" w:hAnsi="Times New Roman"/>
          <w:i/>
          <w:iCs/>
        </w:rPr>
        <w:t>[2]  a następnie nazwisko i adres  przedstawiciela bezpośredniego. W przypadku agenta celnego dane te obejmują także datę i numer wpisu na listę agentów celnych, które wpisywane są w lewym dolnym rogu pola.</w:t>
      </w:r>
    </w:p>
    <w:p w:rsidR="0073065F" w:rsidRPr="00FA1758" w:rsidRDefault="0073065F" w:rsidP="0073065F">
      <w:pPr>
        <w:jc w:val="both"/>
        <w:rPr>
          <w:rFonts w:ascii="Times New Roman" w:hAnsi="Times New Roman"/>
          <w:i/>
          <w:iCs/>
        </w:rPr>
      </w:pPr>
    </w:p>
    <w:p w:rsidR="0073065F" w:rsidRPr="00FA1758" w:rsidRDefault="0073065F" w:rsidP="0073065F">
      <w:pPr>
        <w:jc w:val="both"/>
        <w:rPr>
          <w:rFonts w:ascii="Times New Roman" w:hAnsi="Times New Roman"/>
          <w:i/>
          <w:iCs/>
        </w:rPr>
      </w:pPr>
      <w:r w:rsidRPr="00FA1758">
        <w:rPr>
          <w:rFonts w:ascii="Times New Roman" w:hAnsi="Times New Roman"/>
          <w:i/>
          <w:iCs/>
        </w:rPr>
        <w:t>Eksporter (firma) działa przez  pracownika. Wpisać należy:</w:t>
      </w:r>
    </w:p>
    <w:p w:rsidR="0073065F" w:rsidRPr="00FA1758" w:rsidRDefault="0073065F" w:rsidP="0073065F">
      <w:pPr>
        <w:jc w:val="both"/>
        <w:rPr>
          <w:rFonts w:ascii="Times New Roman" w:hAnsi="Times New Roman"/>
          <w:i/>
          <w:iCs/>
        </w:rPr>
      </w:pPr>
      <w:r w:rsidRPr="00FA1758">
        <w:rPr>
          <w:rFonts w:ascii="Times New Roman" w:hAnsi="Times New Roman"/>
          <w:i/>
          <w:iCs/>
        </w:rPr>
        <w:t>Eksporter – 00400.</w:t>
      </w:r>
    </w:p>
    <w:p w:rsidR="0073065F" w:rsidRPr="00FA1758" w:rsidRDefault="0073065F" w:rsidP="0073065F">
      <w:pPr>
        <w:widowControl w:val="0"/>
        <w:jc w:val="both"/>
        <w:rPr>
          <w:rFonts w:ascii="Times New Roman" w:hAnsi="Times New Roman"/>
          <w:i/>
          <w:iCs/>
        </w:rPr>
      </w:pPr>
      <w:r w:rsidRPr="00FA1758">
        <w:rPr>
          <w:rFonts w:ascii="Times New Roman" w:hAnsi="Times New Roman"/>
          <w:i/>
          <w:iCs/>
        </w:rPr>
        <w:t xml:space="preserve"> Jeżeli pracownikiem firmy jest osoba wpisana na listę agentów celnych zapis będzie identyczny, aczkolwiek dodatkowo w lewym dolnym rogu pola należy podać datę i numer wpisu na listę agentów celnych.</w:t>
      </w:r>
    </w:p>
    <w:p w:rsidR="0073065F" w:rsidRPr="00FA1758" w:rsidRDefault="0073065F" w:rsidP="0073065F">
      <w:pPr>
        <w:jc w:val="both"/>
        <w:rPr>
          <w:rFonts w:ascii="Times New Roman" w:hAnsi="Times New Roman"/>
          <w:i/>
          <w:iCs/>
        </w:rPr>
      </w:pPr>
      <w:r w:rsidRPr="00FA1758">
        <w:rPr>
          <w:rFonts w:ascii="Times New Roman" w:hAnsi="Times New Roman"/>
          <w:i/>
          <w:iCs/>
        </w:rPr>
        <w:t>Eksporter sam zgłasza. Wpisać należy:</w:t>
      </w:r>
    </w:p>
    <w:p w:rsidR="0073065F" w:rsidRPr="00FA1758" w:rsidRDefault="0073065F" w:rsidP="0073065F">
      <w:pPr>
        <w:jc w:val="both"/>
        <w:rPr>
          <w:rFonts w:ascii="Times New Roman" w:hAnsi="Times New Roman"/>
          <w:i/>
          <w:iCs/>
        </w:rPr>
      </w:pPr>
      <w:r w:rsidRPr="00FA1758">
        <w:rPr>
          <w:rFonts w:ascii="Times New Roman" w:hAnsi="Times New Roman"/>
          <w:i/>
          <w:iCs/>
        </w:rPr>
        <w:t>Eksporter – 00400”.</w:t>
      </w:r>
    </w:p>
    <w:p w:rsidR="0073065F" w:rsidRPr="00FA1758" w:rsidRDefault="0073065F" w:rsidP="0073065F">
      <w:pPr>
        <w:spacing w:before="240"/>
        <w:jc w:val="both"/>
        <w:rPr>
          <w:rFonts w:ascii="Times New Roman" w:hAnsi="Times New Roman"/>
        </w:rPr>
      </w:pPr>
    </w:p>
    <w:p w:rsidR="0073065F" w:rsidRPr="00FA1758" w:rsidRDefault="0073065F" w:rsidP="0073065F">
      <w:pPr>
        <w:spacing w:before="240"/>
        <w:ind w:firstLine="720"/>
        <w:jc w:val="both"/>
        <w:rPr>
          <w:rFonts w:ascii="Times New Roman" w:hAnsi="Times New Roman"/>
        </w:rPr>
      </w:pPr>
      <w:r w:rsidRPr="001A79AB">
        <w:rPr>
          <w:rFonts w:ascii="Times New Roman" w:hAnsi="Times New Roman"/>
          <w:b/>
        </w:rPr>
        <w:t>c) opis</w:t>
      </w:r>
      <w:r w:rsidRPr="00FA1758">
        <w:rPr>
          <w:rFonts w:ascii="Times New Roman" w:hAnsi="Times New Roman"/>
        </w:rPr>
        <w:t xml:space="preserve"> </w:t>
      </w:r>
      <w:r w:rsidRPr="002640B1">
        <w:rPr>
          <w:rFonts w:ascii="Times New Roman" w:hAnsi="Times New Roman"/>
          <w:b/>
        </w:rPr>
        <w:t>pola 46 – Wartość statystyczna</w:t>
      </w:r>
      <w:r w:rsidRPr="00FA1758">
        <w:rPr>
          <w:rFonts w:ascii="Times New Roman" w:hAnsi="Times New Roman"/>
        </w:rPr>
        <w:t xml:space="preserve"> </w:t>
      </w:r>
      <w:r>
        <w:rPr>
          <w:rFonts w:ascii="Times New Roman" w:hAnsi="Times New Roman"/>
        </w:rPr>
        <w:t xml:space="preserve">(str. 38-39) </w:t>
      </w:r>
      <w:r w:rsidRPr="00FA1758">
        <w:rPr>
          <w:rFonts w:ascii="Times New Roman" w:hAnsi="Times New Roman"/>
        </w:rPr>
        <w:t>otrzymuje następujące brzmienie:</w:t>
      </w:r>
    </w:p>
    <w:p w:rsidR="0073065F" w:rsidRDefault="0073065F" w:rsidP="0073065F">
      <w:pPr>
        <w:suppressAutoHyphens/>
        <w:spacing w:after="240"/>
        <w:rPr>
          <w:rFonts w:ascii="Times New Roman" w:eastAsia="Times New Roman" w:hAnsi="Times New Roman"/>
          <w:b/>
          <w:spacing w:val="5"/>
          <w:lang w:eastAsia="pl-PL" w:bidi="pl-PL"/>
        </w:rPr>
      </w:pPr>
    </w:p>
    <w:p w:rsidR="0073065F" w:rsidRPr="00FA1758" w:rsidRDefault="0073065F" w:rsidP="0073065F">
      <w:pPr>
        <w:suppressAutoHyphens/>
        <w:spacing w:after="240"/>
        <w:rPr>
          <w:rFonts w:ascii="Times New Roman" w:eastAsia="Times New Roman" w:hAnsi="Times New Roman"/>
          <w:b/>
          <w:bCs/>
          <w:spacing w:val="5"/>
          <w:lang w:eastAsia="pl-PL" w:bidi="pl-PL"/>
        </w:rPr>
      </w:pPr>
      <w:r>
        <w:rPr>
          <w:rFonts w:ascii="Times New Roman" w:eastAsia="Times New Roman" w:hAnsi="Times New Roman"/>
          <w:b/>
          <w:spacing w:val="5"/>
          <w:lang w:eastAsia="pl-PL" w:bidi="pl-PL"/>
        </w:rPr>
        <w:t>„</w:t>
      </w:r>
      <w:r w:rsidRPr="00FA1758">
        <w:rPr>
          <w:rFonts w:ascii="Times New Roman" w:eastAsia="Times New Roman" w:hAnsi="Times New Roman"/>
          <w:b/>
          <w:spacing w:val="5"/>
          <w:lang w:eastAsia="pl-PL" w:bidi="pl-PL"/>
        </w:rPr>
        <w:t>Zasada ogólna</w:t>
      </w:r>
    </w:p>
    <w:p w:rsidR="0073065F" w:rsidRPr="00FA1758" w:rsidRDefault="0073065F" w:rsidP="0073065F">
      <w:pPr>
        <w:suppressAutoHyphens/>
        <w:spacing w:after="120"/>
        <w:jc w:val="both"/>
        <w:rPr>
          <w:rFonts w:ascii="Times New Roman" w:eastAsia="Times New Roman" w:hAnsi="Times New Roman"/>
          <w:u w:val="single"/>
          <w:lang w:eastAsia="pl-PL" w:bidi="pl-PL"/>
        </w:rPr>
      </w:pPr>
      <w:r w:rsidRPr="00FA1758">
        <w:rPr>
          <w:rFonts w:ascii="Times New Roman" w:eastAsia="Times New Roman" w:hAnsi="Times New Roman"/>
          <w:lang w:eastAsia="pl-PL" w:bidi="pl-PL"/>
        </w:rPr>
        <w:t xml:space="preserve">Wartość statystyczna oznacza przybliżoną wartość </w:t>
      </w:r>
      <w:r w:rsidRPr="00FA1758">
        <w:rPr>
          <w:rFonts w:ascii="Times New Roman" w:eastAsia="Times New Roman" w:hAnsi="Times New Roman"/>
          <w:u w:val="single"/>
          <w:lang w:eastAsia="pl-PL" w:bidi="pl-PL"/>
        </w:rPr>
        <w:t>teoretyczną</w:t>
      </w:r>
      <w:r w:rsidRPr="00FA1758">
        <w:rPr>
          <w:rFonts w:ascii="Times New Roman" w:eastAsia="Times New Roman" w:hAnsi="Times New Roman"/>
          <w:lang w:eastAsia="pl-PL" w:bidi="pl-PL"/>
        </w:rPr>
        <w:t xml:space="preserve"> towarów w chwili i w miejscu, w których opuszczają one terytorium państwa członkowskiego, w którym </w:t>
      </w:r>
      <w:r w:rsidRPr="00FA1758">
        <w:rPr>
          <w:rFonts w:ascii="Times New Roman" w:eastAsia="Times New Roman" w:hAnsi="Times New Roman"/>
          <w:b/>
          <w:lang w:eastAsia="pl-PL" w:bidi="pl-PL"/>
        </w:rPr>
        <w:t>znajdowały się</w:t>
      </w:r>
      <w:r w:rsidRPr="00FA1758">
        <w:rPr>
          <w:rFonts w:ascii="Times New Roman" w:eastAsia="Times New Roman" w:hAnsi="Times New Roman"/>
          <w:lang w:eastAsia="pl-PL" w:bidi="pl-PL"/>
        </w:rPr>
        <w:t xml:space="preserve"> w chwili zwolnienia do procedury celnej („państwo członkowskie wywozu”). Wartość statystyczna ma się odnosić do tego państwa członkowskiego.</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 związku z powyższym wartość statystyczna obejmuje (wewnętrzną) </w:t>
      </w:r>
      <w:r w:rsidRPr="00FA1758">
        <w:rPr>
          <w:rFonts w:ascii="Times New Roman" w:eastAsia="Times New Roman" w:hAnsi="Times New Roman"/>
          <w:i/>
          <w:lang w:eastAsia="pl-PL" w:bidi="pl-PL"/>
        </w:rPr>
        <w:t>wartość towarów</w:t>
      </w:r>
      <w:r w:rsidRPr="00FA1758">
        <w:rPr>
          <w:rFonts w:ascii="Times New Roman" w:eastAsia="Times New Roman" w:hAnsi="Times New Roman"/>
          <w:lang w:eastAsia="pl-PL" w:bidi="pl-PL"/>
        </w:rPr>
        <w:t xml:space="preserve"> oraz </w:t>
      </w:r>
      <w:r w:rsidRPr="00FA1758">
        <w:rPr>
          <w:rFonts w:ascii="Times New Roman" w:eastAsia="Times New Roman" w:hAnsi="Times New Roman"/>
          <w:i/>
          <w:lang w:eastAsia="pl-PL" w:bidi="pl-PL"/>
        </w:rPr>
        <w:t>poniesione lub</w:t>
      </w:r>
      <w:r w:rsidRPr="00FA1758">
        <w:rPr>
          <w:rFonts w:ascii="Times New Roman" w:eastAsia="Times New Roman" w:hAnsi="Times New Roman"/>
          <w:lang w:eastAsia="pl-PL" w:bidi="pl-PL"/>
        </w:rPr>
        <w:t xml:space="preserve"> </w:t>
      </w:r>
      <w:r w:rsidRPr="00FA1758">
        <w:rPr>
          <w:rFonts w:ascii="Times New Roman" w:eastAsia="Times New Roman" w:hAnsi="Times New Roman"/>
          <w:i/>
          <w:lang w:eastAsia="pl-PL" w:bidi="pl-PL"/>
        </w:rPr>
        <w:t>obliczone koszty transportu i ubezpieczenia</w:t>
      </w:r>
      <w:r w:rsidRPr="00FA1758">
        <w:rPr>
          <w:rFonts w:ascii="Times New Roman" w:eastAsia="Times New Roman" w:hAnsi="Times New Roman"/>
          <w:lang w:eastAsia="pl-PL" w:bidi="pl-PL"/>
        </w:rPr>
        <w:t xml:space="preserve"> z punktu wyjścia transportu do miejsca wyprowadzenia z tego państwa członkowskiego.</w:t>
      </w:r>
    </w:p>
    <w:p w:rsidR="0073065F" w:rsidRPr="001A79AB" w:rsidRDefault="0073065F" w:rsidP="0073065F">
      <w:pPr>
        <w:suppressAutoHyphens/>
        <w:spacing w:before="360" w:after="240"/>
        <w:rPr>
          <w:rFonts w:ascii="Times New Roman" w:hAnsi="Times New Roman"/>
          <w:b/>
          <w:i/>
          <w:lang w:eastAsia="pl-PL" w:bidi="pl-PL"/>
        </w:rPr>
      </w:pPr>
      <w:r w:rsidRPr="001A79AB">
        <w:rPr>
          <w:rFonts w:ascii="Times New Roman" w:hAnsi="Times New Roman"/>
          <w:b/>
          <w:i/>
          <w:lang w:eastAsia="pl-PL" w:bidi="pl-PL"/>
        </w:rPr>
        <w:t>Przykłady:</w:t>
      </w:r>
    </w:p>
    <w:p w:rsidR="0073065F" w:rsidRPr="00FA1758" w:rsidRDefault="0073065F" w:rsidP="0073065F">
      <w:pPr>
        <w:numPr>
          <w:ilvl w:val="0"/>
          <w:numId w:val="13"/>
        </w:numPr>
        <w:suppressAutoHyphens/>
        <w:contextualSpacing/>
        <w:jc w:val="both"/>
        <w:rPr>
          <w:rFonts w:ascii="Times New Roman" w:hAnsi="Times New Roman"/>
          <w:lang w:eastAsia="pl-PL" w:bidi="pl-PL"/>
        </w:rPr>
      </w:pPr>
      <w:r w:rsidRPr="00FA1758">
        <w:rPr>
          <w:rFonts w:ascii="Times New Roman" w:eastAsia="Times New Roman" w:hAnsi="Times New Roman"/>
          <w:lang w:eastAsia="pl-PL" w:bidi="pl-PL"/>
        </w:rPr>
        <w:t xml:space="preserve">Towary zostaną wywiezione z Polski do Stanów Zjednoczonych; warunki dostawy są następujące: „EXW Łódź”. Wywozowe zgłoszenie celne jest składane w Łodzi i tam też przedstawiane są towary. Po zwolnieniu do procedury wywozu towary przewozi się transportem drogowym z centralnej Polski przez Niemcy do Holandii w celu wyprowadzenia z terytorium Unii. </w:t>
      </w:r>
    </w:p>
    <w:p w:rsidR="0073065F" w:rsidRPr="00FA1758" w:rsidRDefault="0073065F" w:rsidP="0073065F">
      <w:pPr>
        <w:suppressAutoHyphens/>
        <w:spacing w:before="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Ponieważ towary w chwili zwolnienia fizycznie znajdują się w Polsce, wartość statystyczna jest wartością teoretyczną w miejscu wyprowadzenia z Polski na granicy polsko-niemieckiej; odpowiada to cenie „FOB na granicy polsko-niemieckiej”.</w:t>
      </w:r>
    </w:p>
    <w:p w:rsidR="0073065F" w:rsidRPr="00FA1758" w:rsidRDefault="0073065F" w:rsidP="0073065F">
      <w:pPr>
        <w:suppressAutoHyphens/>
        <w:jc w:val="both"/>
        <w:rPr>
          <w:rFonts w:ascii="Times New Roman" w:eastAsia="Times New Roman" w:hAnsi="Times New Roman"/>
          <w:lang w:eastAsia="pl-PL" w:bidi="pl-PL"/>
        </w:rPr>
      </w:pPr>
    </w:p>
    <w:p w:rsidR="0073065F" w:rsidRPr="00FA1758" w:rsidRDefault="0073065F" w:rsidP="0073065F">
      <w:pPr>
        <w:numPr>
          <w:ilvl w:val="0"/>
          <w:numId w:val="13"/>
        </w:numPr>
        <w:suppressAutoHyphens/>
        <w:contextualSpacing/>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Towary są sprzedawane z Polski i wywożone z Polski celem dostarczenia do Stanów Zjednoczonych; warunki dostawy są następujące: „CIF Nowy Jork”. Towary przewozi się transportem drogowym z centralnej Polski przez Niemcy do Holandii. W Rotterdamie towary pakuje/przepakowuje się do celów transportu morskiego, a polski eksporter korzysta z możliwości złożenia zgłoszenia wywozowego w Rotterdamie. Po zwolnieniu do procedury wywozu towary wyprowadza się z terytorium Unii przy użyciu statku. </w:t>
      </w:r>
    </w:p>
    <w:p w:rsidR="0073065F" w:rsidRPr="00FA1758" w:rsidRDefault="0073065F" w:rsidP="0073065F">
      <w:pPr>
        <w:suppressAutoHyphens/>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Ponieważ towary w chwili zwolnienia fizycznie znajdują się w Holandii, wartość statystyczna jest wartością teoretyczną w miejscu wyprowadzenia z Niderlandów; odpowiada to cenie „FOB Rotterdam”.</w:t>
      </w:r>
    </w:p>
    <w:p w:rsidR="0073065F" w:rsidRPr="00FA1758" w:rsidRDefault="0073065F" w:rsidP="0073065F">
      <w:pPr>
        <w:suppressAutoHyphens/>
        <w:jc w:val="both"/>
        <w:rPr>
          <w:rFonts w:ascii="Times New Roman" w:eastAsia="Times New Roman" w:hAnsi="Times New Roman"/>
          <w:lang w:eastAsia="pl-PL" w:bidi="pl-PL"/>
        </w:rPr>
      </w:pPr>
    </w:p>
    <w:p w:rsidR="0073065F" w:rsidRPr="00FA1758" w:rsidRDefault="0073065F" w:rsidP="0073065F">
      <w:pPr>
        <w:numPr>
          <w:ilvl w:val="0"/>
          <w:numId w:val="13"/>
        </w:numPr>
        <w:suppressAutoHyphens/>
        <w:contextualSpacing/>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Towary zostaną wywiezione z Polski do Stanów Zjednoczonych; warunki dostawy są następujące: „EXW Łódź”. </w:t>
      </w:r>
    </w:p>
    <w:p w:rsidR="0073065F" w:rsidRPr="00FA1758" w:rsidRDefault="0073065F" w:rsidP="0073065F">
      <w:pPr>
        <w:suppressAutoHyphens/>
        <w:spacing w:before="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Wywóz odbywa się na podstawie pozwolenia na korzystanie z odprawy scentralizowanej obejmującego Hiszpanię i Polskę. Wywozowe zgłoszenie celne jest składane w kontrolnym urzędzie celnym w Hiszpanii, a odnośne towary są dostępne w urzędzie celnym przedstawienia w Łodzi. Po zwolnieniu do procedury wywozu towary przewozi się z centralnej Polski przez Niemcy do Niderlandów w celu wyprowadzenia z terytorium Unii.</w:t>
      </w:r>
    </w:p>
    <w:p w:rsidR="0073065F" w:rsidRPr="00FA1758" w:rsidRDefault="0073065F" w:rsidP="0073065F">
      <w:pPr>
        <w:suppressAutoHyphens/>
        <w:spacing w:before="120" w:after="120"/>
        <w:ind w:left="709"/>
        <w:jc w:val="both"/>
        <w:rPr>
          <w:rFonts w:ascii="Times New Roman" w:eastAsia="Times New Roman" w:hAnsi="Times New Roman"/>
          <w:lang w:eastAsia="pl-PL" w:bidi="pl-PL"/>
        </w:rPr>
      </w:pPr>
      <w:r w:rsidRPr="00FA1758">
        <w:rPr>
          <w:rFonts w:ascii="Times New Roman" w:eastAsia="Times New Roman" w:hAnsi="Times New Roman"/>
          <w:lang w:eastAsia="pl-PL" w:bidi="pl-PL"/>
        </w:rPr>
        <w:t>Ponieważ towary w chwili zwolnienia fizycznie znajdują się w Polsce, wartość statystyczna jest wartością teoretyczną towarów w miejscu wyprowadzenia z Polski na granicy polsko-niemieckiej; odpowiada to cenie „FOB na granicy polsko-niemieckiej”.</w:t>
      </w:r>
    </w:p>
    <w:p w:rsidR="0073065F" w:rsidRPr="00FA1758" w:rsidRDefault="0073065F" w:rsidP="0073065F">
      <w:pPr>
        <w:suppressAutoHyphens/>
        <w:spacing w:before="240" w:after="240"/>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lastRenderedPageBreak/>
        <w:t>Wartość towarów</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Wartość statystyczna </w:t>
      </w:r>
      <w:r w:rsidRPr="00FA1758">
        <w:rPr>
          <w:rFonts w:ascii="Times New Roman" w:eastAsia="Times New Roman" w:hAnsi="Times New Roman"/>
          <w:b/>
          <w:lang w:eastAsia="pl-PL" w:bidi="pl-PL"/>
        </w:rPr>
        <w:t>jest oparta</w:t>
      </w:r>
      <w:r w:rsidRPr="00FA1758">
        <w:rPr>
          <w:rFonts w:ascii="Times New Roman" w:eastAsia="Times New Roman" w:hAnsi="Times New Roman"/>
          <w:lang w:eastAsia="pl-PL" w:bidi="pl-PL"/>
        </w:rPr>
        <w:t xml:space="preserve"> na </w:t>
      </w:r>
      <w:r w:rsidRPr="00FA1758">
        <w:rPr>
          <w:rFonts w:ascii="Times New Roman" w:eastAsia="Times New Roman" w:hAnsi="Times New Roman"/>
          <w:i/>
          <w:lang w:eastAsia="pl-PL" w:bidi="pl-PL"/>
        </w:rPr>
        <w:t>wartości towarów,</w:t>
      </w:r>
      <w:r w:rsidRPr="00FA1758">
        <w:rPr>
          <w:rFonts w:ascii="Times New Roman" w:eastAsia="Times New Roman" w:hAnsi="Times New Roman"/>
          <w:lang w:eastAsia="pl-PL" w:bidi="pl-PL"/>
        </w:rPr>
        <w:t xml:space="preserve"> tj.:</w:t>
      </w:r>
    </w:p>
    <w:p w:rsidR="0073065F" w:rsidRPr="00FA1758" w:rsidRDefault="0073065F" w:rsidP="0073065F">
      <w:pPr>
        <w:numPr>
          <w:ilvl w:val="0"/>
          <w:numId w:val="14"/>
        </w:numPr>
        <w:suppressAutoHyphens/>
        <w:spacing w:before="120" w:after="120"/>
        <w:ind w:left="714" w:hanging="357"/>
        <w:contextualSpacing/>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 przypadku </w:t>
      </w:r>
      <w:r w:rsidRPr="00FA1758">
        <w:rPr>
          <w:rFonts w:ascii="Times New Roman" w:eastAsia="Times New Roman" w:hAnsi="Times New Roman"/>
          <w:i/>
          <w:lang w:eastAsia="pl-PL" w:bidi="pl-PL"/>
        </w:rPr>
        <w:t>sprzedaży lub nabycia</w:t>
      </w:r>
      <w:r w:rsidRPr="00FA1758">
        <w:rPr>
          <w:rFonts w:ascii="Times New Roman" w:eastAsia="Times New Roman" w:hAnsi="Times New Roman"/>
          <w:lang w:eastAsia="pl-PL" w:bidi="pl-PL"/>
        </w:rPr>
        <w:t>: cenie faktycznie zapłaconej lub należnej za wywożone towary,</w:t>
      </w:r>
    </w:p>
    <w:p w:rsidR="0073065F" w:rsidRPr="00FA1758" w:rsidRDefault="0073065F" w:rsidP="0073065F">
      <w:pPr>
        <w:numPr>
          <w:ilvl w:val="0"/>
          <w:numId w:val="14"/>
        </w:numPr>
        <w:suppressAutoHyphens/>
        <w:spacing w:before="120" w:after="120"/>
        <w:ind w:left="714" w:hanging="357"/>
        <w:contextualSpacing/>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 </w:t>
      </w:r>
      <w:r w:rsidRPr="00FA1758">
        <w:rPr>
          <w:rFonts w:ascii="Times New Roman" w:eastAsia="Times New Roman" w:hAnsi="Times New Roman"/>
          <w:i/>
          <w:lang w:eastAsia="pl-PL" w:bidi="pl-PL"/>
        </w:rPr>
        <w:t>innych przypadkach</w:t>
      </w:r>
      <w:r w:rsidRPr="00FA1758">
        <w:rPr>
          <w:rFonts w:ascii="Times New Roman" w:eastAsia="Times New Roman" w:hAnsi="Times New Roman"/>
          <w:lang w:eastAsia="pl-PL" w:bidi="pl-PL"/>
        </w:rPr>
        <w:t>: cenie, która zostałaby racjonalnie zafakturowana do celów wywozu z Unii, gdyby wywożone towary były przedmiotem transakcji sprzedaży lub nabycia zawartej między kupującym i sprzedającym, którzy nie są ze sobą powiązani.</w:t>
      </w:r>
    </w:p>
    <w:p w:rsidR="0073065F" w:rsidRPr="001A79AB" w:rsidRDefault="0073065F" w:rsidP="0073065F">
      <w:pPr>
        <w:suppressAutoHyphens/>
        <w:spacing w:before="360" w:after="240"/>
        <w:rPr>
          <w:rFonts w:ascii="Times New Roman" w:hAnsi="Times New Roman"/>
          <w:i/>
          <w:lang w:eastAsia="pl-PL" w:bidi="pl-PL"/>
        </w:rPr>
      </w:pPr>
      <w:r w:rsidRPr="001A79AB">
        <w:rPr>
          <w:rFonts w:ascii="Times New Roman" w:hAnsi="Times New Roman"/>
          <w:b/>
          <w:i/>
          <w:lang w:eastAsia="pl-PL" w:bidi="pl-PL"/>
        </w:rPr>
        <w:t>Przykłady:</w:t>
      </w:r>
    </w:p>
    <w:p w:rsidR="0073065F" w:rsidRPr="00FA1758" w:rsidRDefault="0073065F" w:rsidP="0073065F">
      <w:pPr>
        <w:numPr>
          <w:ilvl w:val="0"/>
          <w:numId w:val="15"/>
        </w:numPr>
        <w:suppressAutoHyphens/>
        <w:ind w:left="714" w:hanging="357"/>
        <w:contextualSpacing/>
        <w:jc w:val="both"/>
        <w:rPr>
          <w:rFonts w:ascii="Times New Roman" w:hAnsi="Times New Roman"/>
          <w:lang w:eastAsia="pl-PL" w:bidi="pl-PL"/>
        </w:rPr>
      </w:pPr>
      <w:r w:rsidRPr="00FA1758">
        <w:rPr>
          <w:rFonts w:ascii="Times New Roman" w:eastAsia="Times New Roman" w:hAnsi="Times New Roman"/>
          <w:lang w:eastAsia="pl-PL" w:bidi="pl-PL"/>
        </w:rPr>
        <w:t xml:space="preserve">Towary mają zostać wywiezione z Polski do Rosji; polski producent sprzedał towary rosyjskiemu klientowi „CIF Moskwa” za cenę 1 000,00 EUR. Zatem podstawą do ustalenia wartości statystycznej jest kwota </w:t>
      </w:r>
      <w:r w:rsidRPr="00FA1758">
        <w:rPr>
          <w:rFonts w:ascii="Times New Roman" w:eastAsia="Times New Roman" w:hAnsi="Times New Roman"/>
          <w:b/>
          <w:lang w:eastAsia="pl-PL" w:bidi="pl-PL"/>
        </w:rPr>
        <w:t>1 000,00 EUR.</w:t>
      </w:r>
    </w:p>
    <w:p w:rsidR="0073065F" w:rsidRPr="00FA1758" w:rsidRDefault="0073065F" w:rsidP="0073065F">
      <w:pPr>
        <w:suppressAutoHyphens/>
        <w:ind w:left="714"/>
        <w:contextualSpacing/>
        <w:jc w:val="both"/>
        <w:rPr>
          <w:rFonts w:ascii="Times New Roman" w:hAnsi="Times New Roman"/>
          <w:lang w:eastAsia="pl-PL" w:bidi="pl-PL"/>
        </w:rPr>
      </w:pPr>
    </w:p>
    <w:p w:rsidR="0073065F" w:rsidRPr="00FA1758" w:rsidRDefault="0073065F" w:rsidP="0073065F">
      <w:pPr>
        <w:numPr>
          <w:ilvl w:val="0"/>
          <w:numId w:val="15"/>
        </w:numPr>
        <w:suppressAutoHyphens/>
        <w:spacing w:before="120" w:after="120"/>
        <w:contextualSpacing/>
        <w:jc w:val="both"/>
        <w:rPr>
          <w:rFonts w:ascii="Times New Roman" w:hAnsi="Times New Roman"/>
          <w:lang w:eastAsia="pl-PL" w:bidi="pl-PL"/>
        </w:rPr>
      </w:pPr>
      <w:r w:rsidRPr="00FA1758">
        <w:rPr>
          <w:rFonts w:ascii="Times New Roman" w:eastAsia="Times New Roman" w:hAnsi="Times New Roman"/>
          <w:lang w:eastAsia="pl-PL" w:bidi="pl-PL"/>
        </w:rPr>
        <w:t>Towary mają zostać wywiezione z Polski do Rosji; polski producent (jednostka zależna przedsiębiorstwa wielonarodowego) składa wywozowe zgłoszenie celne. Na szczeblu wewnętrznym towary sprzedano spółce dominującej (the mother company)</w:t>
      </w:r>
      <w:r>
        <w:rPr>
          <w:rFonts w:ascii="Times New Roman" w:eastAsia="Times New Roman" w:hAnsi="Times New Roman"/>
          <w:lang w:eastAsia="pl-PL" w:bidi="pl-PL"/>
        </w:rPr>
        <w:t xml:space="preserve"> </w:t>
      </w:r>
      <w:r w:rsidRPr="00FA1758">
        <w:rPr>
          <w:rFonts w:ascii="Times New Roman" w:eastAsia="Times New Roman" w:hAnsi="Times New Roman"/>
          <w:lang w:eastAsia="pl-PL" w:bidi="pl-PL"/>
        </w:rPr>
        <w:t>w Hiszpanii za cenę 900,00 EUR, która z kolei sprzedała je rosyjskiemu klientowi „CIF Moskwa” za cenę 1 000,00 EUR.</w:t>
      </w:r>
    </w:p>
    <w:p w:rsidR="0073065F" w:rsidRPr="00FA1758" w:rsidRDefault="0073065F" w:rsidP="0073065F">
      <w:pPr>
        <w:suppressAutoHyphens/>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Ponieważ wartość statystyczna ma dotyczyć Polski („kwota zapłacona polskiemu producentowi”; transgraniczny przepływ towarów nie dotyczy Hiszpanii), </w:t>
      </w:r>
      <w:r w:rsidRPr="00FA1758">
        <w:rPr>
          <w:rFonts w:ascii="Times New Roman" w:eastAsia="Times New Roman" w:hAnsi="Times New Roman"/>
          <w:u w:val="single"/>
          <w:lang w:eastAsia="pl-PL" w:bidi="pl-PL"/>
        </w:rPr>
        <w:t>podstawą</w:t>
      </w:r>
      <w:r w:rsidRPr="00FA1758">
        <w:rPr>
          <w:rFonts w:ascii="Times New Roman" w:eastAsia="Times New Roman" w:hAnsi="Times New Roman"/>
          <w:lang w:eastAsia="pl-PL" w:bidi="pl-PL"/>
        </w:rPr>
        <w:t xml:space="preserve"> do ustalenia wartości statystycznej jest kwota </w:t>
      </w:r>
      <w:r w:rsidRPr="00FA1758">
        <w:rPr>
          <w:rFonts w:ascii="Times New Roman" w:eastAsia="Times New Roman" w:hAnsi="Times New Roman"/>
          <w:b/>
          <w:lang w:eastAsia="pl-PL" w:bidi="pl-PL"/>
        </w:rPr>
        <w:t>900,00 EUR</w:t>
      </w:r>
      <w:r w:rsidRPr="00FA1758">
        <w:rPr>
          <w:rFonts w:ascii="Times New Roman" w:eastAsia="Times New Roman" w:hAnsi="Times New Roman"/>
          <w:lang w:eastAsia="pl-PL" w:bidi="pl-PL"/>
        </w:rPr>
        <w:t>.</w:t>
      </w:r>
    </w:p>
    <w:p w:rsidR="0073065F" w:rsidRPr="00FA1758" w:rsidRDefault="0073065F" w:rsidP="0073065F">
      <w:pPr>
        <w:suppressAutoHyphens/>
        <w:spacing w:before="360" w:after="240"/>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t>Koszty nieuwzględniane w wartości statystycznej</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Wartość statystyczna nie może obejmować podatków krajowych, takich jak podatek od wartości dodanej, podatek akcyzowy i podobne podatki, jeżeli </w:t>
      </w:r>
      <w:r>
        <w:rPr>
          <w:rFonts w:ascii="Times New Roman" w:eastAsia="Times New Roman" w:hAnsi="Times New Roman"/>
          <w:lang w:eastAsia="pl-PL" w:bidi="pl-PL"/>
        </w:rPr>
        <w:t>nie</w:t>
      </w:r>
      <w:r w:rsidRPr="00FA1758">
        <w:rPr>
          <w:rFonts w:ascii="Times New Roman" w:eastAsia="Times New Roman" w:hAnsi="Times New Roman"/>
          <w:lang w:eastAsia="pl-PL" w:bidi="pl-PL"/>
        </w:rPr>
        <w:t xml:space="preserve"> zostały one ostatecznie wliczone do ceny faktycznie zapłaconej lub należnej lub ostatecznie </w:t>
      </w:r>
      <w:r>
        <w:rPr>
          <w:rFonts w:ascii="Times New Roman" w:eastAsia="Times New Roman" w:hAnsi="Times New Roman"/>
          <w:lang w:eastAsia="pl-PL" w:bidi="pl-PL"/>
        </w:rPr>
        <w:t>nie</w:t>
      </w:r>
      <w:r w:rsidRPr="00FA1758">
        <w:rPr>
          <w:rFonts w:ascii="Times New Roman" w:eastAsia="Times New Roman" w:hAnsi="Times New Roman"/>
          <w:lang w:eastAsia="pl-PL" w:bidi="pl-PL"/>
        </w:rPr>
        <w:t xml:space="preserve"> zostały uiszczone przez partnera handlowego. Nie można także uwzględniać rolnych refundacji wywozowych.</w:t>
      </w:r>
    </w:p>
    <w:p w:rsidR="0073065F" w:rsidRPr="001A79AB" w:rsidRDefault="0073065F" w:rsidP="0073065F">
      <w:pPr>
        <w:suppressAutoHyphens/>
        <w:spacing w:before="360" w:after="240"/>
        <w:rPr>
          <w:rFonts w:ascii="Times New Roman" w:hAnsi="Times New Roman"/>
          <w:i/>
          <w:lang w:eastAsia="pl-PL" w:bidi="pl-PL"/>
        </w:rPr>
      </w:pPr>
      <w:r w:rsidRPr="001A79AB">
        <w:rPr>
          <w:rFonts w:ascii="Times New Roman" w:hAnsi="Times New Roman"/>
          <w:b/>
          <w:i/>
          <w:lang w:eastAsia="pl-PL" w:bidi="pl-PL"/>
        </w:rPr>
        <w:t>Przykład:</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Producent posiadający siedzibę w Polsce sprzedaje towary do Japonii. Na fakturze widnieje kwota (1 000,00 EUR) i krajowy polski podatek VAT (np. 19% – 190,00 EUR). Zgodnie z umową japoński kupujący płaci wartość </w:t>
      </w:r>
      <w:r w:rsidRPr="00FA1758">
        <w:rPr>
          <w:rFonts w:ascii="Times New Roman" w:eastAsia="Times New Roman" w:hAnsi="Times New Roman"/>
          <w:u w:val="single"/>
          <w:lang w:eastAsia="pl-PL" w:bidi="pl-PL"/>
        </w:rPr>
        <w:t>brutto</w:t>
      </w:r>
      <w:r w:rsidRPr="00FA1758">
        <w:rPr>
          <w:rFonts w:ascii="Times New Roman" w:eastAsia="Times New Roman" w:hAnsi="Times New Roman"/>
          <w:lang w:eastAsia="pl-PL" w:bidi="pl-PL"/>
        </w:rPr>
        <w:t xml:space="preserve"> (1 190 EUR), ale otrzyma zwrot VAT, gdy tylko sprzedający dostanie wszystkie dokumenty wymagane do skorzystania z krajowego zwolnienia z VAT.</w:t>
      </w:r>
    </w:p>
    <w:p w:rsidR="0073065F" w:rsidRPr="00FA1758" w:rsidRDefault="0073065F" w:rsidP="0073065F">
      <w:pPr>
        <w:suppressAutoHyphens/>
        <w:spacing w:before="120" w:after="36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Wartość statystyczna jest oparta na zapłaconej cenie, </w:t>
      </w:r>
      <w:r w:rsidRPr="00FA1758">
        <w:rPr>
          <w:rFonts w:ascii="Times New Roman" w:eastAsia="Times New Roman" w:hAnsi="Times New Roman"/>
          <w:u w:val="single"/>
          <w:lang w:eastAsia="pl-PL" w:bidi="pl-PL"/>
        </w:rPr>
        <w:t>nie uwzględnia</w:t>
      </w:r>
      <w:r w:rsidRPr="00FA1758">
        <w:rPr>
          <w:rFonts w:ascii="Times New Roman" w:eastAsia="Times New Roman" w:hAnsi="Times New Roman"/>
          <w:lang w:eastAsia="pl-PL" w:bidi="pl-PL"/>
        </w:rPr>
        <w:t xml:space="preserve"> jednak krajowej stawki VAT </w:t>
      </w:r>
      <w:r w:rsidRPr="00FA1758">
        <w:rPr>
          <w:rFonts w:ascii="Times New Roman" w:eastAsia="Times New Roman" w:hAnsi="Times New Roman"/>
          <w:lang w:eastAsia="pl-PL" w:bidi="pl-PL"/>
        </w:rPr>
        <w:sym w:font="Wingdings" w:char="F0E0"/>
      </w:r>
      <w:r w:rsidRPr="00FA1758">
        <w:rPr>
          <w:rFonts w:ascii="Times New Roman" w:eastAsia="Times New Roman" w:hAnsi="Times New Roman"/>
          <w:lang w:eastAsia="pl-PL" w:bidi="pl-PL"/>
        </w:rPr>
        <w:t xml:space="preserve"> </w:t>
      </w:r>
      <w:r w:rsidRPr="00FA1758">
        <w:rPr>
          <w:rFonts w:ascii="Times New Roman" w:eastAsia="Times New Roman" w:hAnsi="Times New Roman"/>
          <w:b/>
          <w:lang w:eastAsia="pl-PL" w:bidi="pl-PL"/>
        </w:rPr>
        <w:t>1 000 EUR</w:t>
      </w:r>
      <w:r w:rsidRPr="00FA1758">
        <w:rPr>
          <w:rFonts w:ascii="Times New Roman" w:eastAsia="Times New Roman" w:hAnsi="Times New Roman"/>
          <w:lang w:eastAsia="pl-PL" w:bidi="pl-PL"/>
        </w:rPr>
        <w:t>.</w:t>
      </w:r>
    </w:p>
    <w:p w:rsidR="0073065F" w:rsidRPr="00FA1758" w:rsidRDefault="0073065F" w:rsidP="0073065F">
      <w:pPr>
        <w:suppressAutoHyphens/>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t>Inne koszty</w:t>
      </w:r>
    </w:p>
    <w:p w:rsidR="0073065F" w:rsidRPr="00FA1758" w:rsidRDefault="0073065F" w:rsidP="0073065F">
      <w:pPr>
        <w:suppressAutoHyphens/>
        <w:spacing w:before="240" w:after="36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Wartość statystyczna musi obejmować wyłącznie koszty dodatkowe. Są to rzeczywiste lub obliczone koszty transportu oraz koszty ubezpieczenia, jeżeli takowe zostały poniesione, obejmują one jednak tylko tę część podróży, która miała miejsce na statystycznym terytorium państwa członkowskiego wywozu. Jeżeli koszty transportu lub ubezpieczenia nie są znane, należy je wiarygodnie oszacować na podstawie kosztów zazwyczaj ponoszonych lub </w:t>
      </w:r>
      <w:r w:rsidRPr="00FA1758">
        <w:rPr>
          <w:rFonts w:ascii="Times New Roman" w:eastAsia="Times New Roman" w:hAnsi="Times New Roman"/>
          <w:lang w:eastAsia="pl-PL" w:bidi="pl-PL"/>
        </w:rPr>
        <w:lastRenderedPageBreak/>
        <w:t>należnych za takie usługi (z uwzględnieniem przede wszystkim różnych środków transportu, jeżeli są one znane).</w:t>
      </w:r>
    </w:p>
    <w:p w:rsidR="0073065F" w:rsidRPr="00FA1758" w:rsidRDefault="0073065F" w:rsidP="0073065F">
      <w:pPr>
        <w:suppressAutoHyphens/>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t xml:space="preserve">„Inne koszty” poza granicami państwa członkowskiego wywozu </w:t>
      </w:r>
    </w:p>
    <w:p w:rsidR="0073065F" w:rsidRPr="00FA1758" w:rsidRDefault="0073065F" w:rsidP="0073065F">
      <w:pPr>
        <w:suppressAutoHyphens/>
        <w:spacing w:before="240" w:after="360"/>
        <w:jc w:val="both"/>
        <w:rPr>
          <w:rFonts w:ascii="Times New Roman" w:eastAsia="Times New Roman" w:hAnsi="Times New Roman"/>
          <w:lang w:eastAsia="pl-PL" w:bidi="pl-PL"/>
        </w:rPr>
      </w:pPr>
      <w:r w:rsidRPr="00FA1758">
        <w:rPr>
          <w:rFonts w:ascii="Times New Roman" w:eastAsia="Times New Roman" w:hAnsi="Times New Roman"/>
          <w:lang w:eastAsia="pl-PL" w:bidi="pl-PL"/>
        </w:rPr>
        <w:t>Jeżeli łączne koszty dodatkowe obejmują podróż poza granicami państwa członkowskiego wywozu (np. do „miejsca docelowego CIF”), należy je podzielić proporcjonalnie, np. według długości przebytej trasy w kilometrach.</w:t>
      </w:r>
    </w:p>
    <w:p w:rsidR="0073065F" w:rsidRPr="00FA1758" w:rsidRDefault="0073065F" w:rsidP="0073065F">
      <w:pPr>
        <w:suppressAutoHyphens/>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t>„Inne koszty” dotyczące więcej niż jednej pozycji na zgłoszeniu wywozowym</w:t>
      </w:r>
    </w:p>
    <w:p w:rsidR="0073065F" w:rsidRPr="00FA1758" w:rsidRDefault="0073065F" w:rsidP="0073065F">
      <w:pPr>
        <w:suppressAutoHyphens/>
        <w:spacing w:before="240" w:after="360"/>
        <w:jc w:val="both"/>
        <w:rPr>
          <w:rFonts w:ascii="Times New Roman" w:eastAsia="Times New Roman" w:hAnsi="Times New Roman"/>
          <w:lang w:eastAsia="pl-PL" w:bidi="pl-PL"/>
        </w:rPr>
      </w:pPr>
      <w:r w:rsidRPr="00FA1758">
        <w:rPr>
          <w:rFonts w:ascii="Times New Roman" w:eastAsia="Times New Roman" w:hAnsi="Times New Roman"/>
          <w:lang w:eastAsia="pl-PL" w:bidi="pl-PL"/>
        </w:rPr>
        <w:t>Jeżeli koszty dodatkowe dotyczą kilku pozycji na zgłoszeniu wywozowym, odnośne koszty dodatkowe dotyczące każdej pozycji z osobna należy obliczyć proporcjonalnie, np. według masy lub objętości.</w:t>
      </w:r>
    </w:p>
    <w:p w:rsidR="0073065F" w:rsidRPr="00FA1758" w:rsidRDefault="0073065F" w:rsidP="0073065F">
      <w:pPr>
        <w:suppressAutoHyphens/>
        <w:spacing w:before="60" w:after="60"/>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t>Wartość statystyczna w przypadku przetwarzania (wywóz)</w:t>
      </w:r>
    </w:p>
    <w:p w:rsidR="0073065F" w:rsidRPr="00FA1758" w:rsidRDefault="0073065F" w:rsidP="0073065F">
      <w:pPr>
        <w:suppressAutoHyphens/>
        <w:spacing w:before="240" w:after="240"/>
        <w:jc w:val="both"/>
        <w:rPr>
          <w:rFonts w:ascii="Times New Roman" w:eastAsia="Times New Roman" w:hAnsi="Times New Roman"/>
          <w:bCs/>
          <w:spacing w:val="5"/>
          <w:lang w:eastAsia="pl-PL" w:bidi="pl-PL"/>
        </w:rPr>
      </w:pPr>
      <w:r w:rsidRPr="00FA1758">
        <w:rPr>
          <w:rFonts w:ascii="Times New Roman" w:eastAsia="Times New Roman" w:hAnsi="Times New Roman"/>
          <w:spacing w:val="5"/>
          <w:lang w:eastAsia="pl-PL" w:bidi="pl-PL"/>
        </w:rPr>
        <w:t>Ma to zastosowanie tylko wówczas, gdy transakcja handlowa nie jest umową sprzedaży, lecz stanowi umowę o świadczenie usług (umowa o „przetwórstwo”).</w:t>
      </w:r>
    </w:p>
    <w:p w:rsidR="0073065F" w:rsidRPr="00FA1758" w:rsidRDefault="0073065F" w:rsidP="0073065F">
      <w:pPr>
        <w:numPr>
          <w:ilvl w:val="0"/>
          <w:numId w:val="17"/>
        </w:numPr>
        <w:suppressAutoHyphens/>
        <w:spacing w:before="60" w:after="120"/>
        <w:ind w:left="714" w:hanging="357"/>
        <w:jc w:val="both"/>
        <w:rPr>
          <w:rFonts w:ascii="Times New Roman" w:eastAsia="Times New Roman" w:hAnsi="Times New Roman"/>
          <w:lang w:eastAsia="pl-PL" w:bidi="pl-PL"/>
        </w:rPr>
      </w:pPr>
      <w:r w:rsidRPr="00FA1758">
        <w:rPr>
          <w:rFonts w:ascii="Times New Roman" w:eastAsia="Times New Roman" w:hAnsi="Times New Roman"/>
          <w:b/>
          <w:lang w:eastAsia="pl-PL" w:bidi="pl-PL"/>
        </w:rPr>
        <w:t>Powrotny wywóz po uszlachetnianiu czynnym</w:t>
      </w:r>
    </w:p>
    <w:p w:rsidR="0073065F" w:rsidRPr="00FA1758" w:rsidRDefault="0073065F" w:rsidP="0073065F">
      <w:pPr>
        <w:suppressAutoHyphens/>
        <w:spacing w:before="60" w:after="60"/>
        <w:ind w:left="720"/>
        <w:jc w:val="both"/>
        <w:rPr>
          <w:rFonts w:ascii="Times New Roman" w:eastAsia="Times New Roman" w:hAnsi="Times New Roman"/>
          <w:lang w:eastAsia="pl-PL" w:bidi="pl-PL"/>
        </w:rPr>
      </w:pPr>
      <w:r w:rsidRPr="00FA1758">
        <w:rPr>
          <w:rFonts w:ascii="Times New Roman" w:eastAsia="Times New Roman" w:hAnsi="Times New Roman"/>
          <w:lang w:eastAsia="pl-PL" w:bidi="pl-PL"/>
        </w:rPr>
        <w:t>W przypadku towarów, które opuszczają Unię po przetworzeniu, wartość statystyczną należy określić na podstawie wartości uprzednio przywiezionych towarów nieprzetworzonych i wartości dodanej w Unii podczas przetwarzania.</w:t>
      </w:r>
    </w:p>
    <w:p w:rsidR="0073065F" w:rsidRPr="00FA1758" w:rsidRDefault="0073065F" w:rsidP="0073065F">
      <w:pPr>
        <w:numPr>
          <w:ilvl w:val="0"/>
          <w:numId w:val="17"/>
        </w:numPr>
        <w:suppressAutoHyphens/>
        <w:spacing w:before="240" w:after="120"/>
        <w:ind w:left="714" w:hanging="357"/>
        <w:jc w:val="both"/>
        <w:rPr>
          <w:rFonts w:ascii="Times New Roman" w:eastAsia="Times New Roman" w:hAnsi="Times New Roman"/>
          <w:lang w:eastAsia="pl-PL" w:bidi="pl-PL"/>
        </w:rPr>
      </w:pPr>
      <w:r w:rsidRPr="00FA1758">
        <w:rPr>
          <w:rFonts w:ascii="Times New Roman" w:eastAsia="Times New Roman" w:hAnsi="Times New Roman"/>
          <w:b/>
          <w:lang w:eastAsia="pl-PL" w:bidi="pl-PL"/>
        </w:rPr>
        <w:t>Wywóz do celów uszlachetniania biernego</w:t>
      </w:r>
    </w:p>
    <w:p w:rsidR="0073065F" w:rsidRPr="00FA1758" w:rsidRDefault="0073065F" w:rsidP="0073065F">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W przypadku towarów, które czasowo opuszczają Unię w celu przetworzenia, wartość statystyczną należy określić na podstawie wartości w chwili wywozu towaru nieprzetworzonego.</w:t>
      </w:r>
    </w:p>
    <w:p w:rsidR="0073065F" w:rsidRPr="001A79AB" w:rsidRDefault="0073065F" w:rsidP="0073065F">
      <w:pPr>
        <w:suppressAutoHyphens/>
        <w:spacing w:before="360" w:after="240"/>
        <w:rPr>
          <w:rFonts w:ascii="Times New Roman" w:hAnsi="Times New Roman"/>
          <w:b/>
          <w:bCs/>
          <w:i/>
          <w:lang w:eastAsia="pl-PL" w:bidi="pl-PL"/>
        </w:rPr>
      </w:pPr>
      <w:r w:rsidRPr="001A79AB">
        <w:rPr>
          <w:rFonts w:ascii="Times New Roman" w:hAnsi="Times New Roman"/>
          <w:b/>
          <w:i/>
          <w:lang w:eastAsia="pl-PL" w:bidi="pl-PL"/>
        </w:rPr>
        <w:t>Przykłady:</w:t>
      </w:r>
    </w:p>
    <w:p w:rsidR="0073065F" w:rsidRPr="00FA1758" w:rsidRDefault="0073065F" w:rsidP="0073065F">
      <w:pPr>
        <w:numPr>
          <w:ilvl w:val="0"/>
          <w:numId w:val="16"/>
        </w:numPr>
        <w:suppressAutoHyphens/>
        <w:contextualSpacing/>
        <w:jc w:val="both"/>
        <w:rPr>
          <w:rFonts w:ascii="Times New Roman" w:hAnsi="Times New Roman"/>
          <w:lang w:eastAsia="pl-PL" w:bidi="pl-PL"/>
        </w:rPr>
      </w:pPr>
      <w:r w:rsidRPr="00FA1758">
        <w:rPr>
          <w:rFonts w:ascii="Times New Roman" w:eastAsia="Times New Roman" w:hAnsi="Times New Roman"/>
          <w:lang w:eastAsia="pl-PL" w:bidi="pl-PL"/>
        </w:rPr>
        <w:t>Polskie przedsiębiorstwo otrzymuje maszynę ze Szwajcarii w ramach umowy o wykonanie usługi w celu udoskonalenia technicznego. Maszyna ta będzie podlegała opłatom celnym, zatem proces udoskonalania przeprowadza się w ramach procedury celnej uszlachetniania czynnego.</w:t>
      </w:r>
    </w:p>
    <w:p w:rsidR="0073065F" w:rsidRPr="00FA1758" w:rsidRDefault="0073065F" w:rsidP="0073065F">
      <w:pPr>
        <w:suppressAutoHyphens/>
        <w:spacing w:before="120"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Wartość rynkowa („wartość godziwa”) maszyny w chwili przywozu (kod procedury celnej 5100) wynosi 1 000,00 EUR, zaś polski przetwórca wystawia fakturę na kwotę 300,00 EUR za usługę przetwarzania plus 70,00 EUR za dodane części. Obliczone koszty transportu z miejsca przetwarzania do granicy niemieckiej wynoszą 5,00 EUR.</w:t>
      </w:r>
    </w:p>
    <w:p w:rsidR="0073065F" w:rsidRPr="00FA1758" w:rsidRDefault="0073065F" w:rsidP="0073065F">
      <w:pPr>
        <w:suppressAutoHyphens/>
        <w:spacing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Polskie przedsiębiorstwo dokonuje powrotnego wywozu maszyny i zamyka procedurę uszlachetniania czynnego (kod procedury celnej 3151). Wartość statystyczna towarów podlegających powrotnemu wywozowi wynosi </w:t>
      </w:r>
      <w:r w:rsidRPr="00FA1758">
        <w:rPr>
          <w:rFonts w:ascii="Times New Roman" w:eastAsia="Times New Roman" w:hAnsi="Times New Roman"/>
          <w:b/>
          <w:lang w:eastAsia="pl-PL" w:bidi="pl-PL"/>
        </w:rPr>
        <w:t>1 375,00 EUR</w:t>
      </w:r>
      <w:r w:rsidRPr="00FA1758">
        <w:rPr>
          <w:rFonts w:ascii="Times New Roman" w:eastAsia="Times New Roman" w:hAnsi="Times New Roman"/>
          <w:lang w:eastAsia="pl-PL" w:bidi="pl-PL"/>
        </w:rPr>
        <w:t xml:space="preserve"> i obejmuje:</w:t>
      </w:r>
    </w:p>
    <w:p w:rsidR="0073065F" w:rsidRPr="00FA1758" w:rsidRDefault="0073065F" w:rsidP="0073065F">
      <w:pPr>
        <w:suppressAutoHyphens/>
        <w:spacing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wartość towarów nieprzetworzonych:</w:t>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t>1 000,00</w:t>
      </w:r>
    </w:p>
    <w:p w:rsidR="0073065F" w:rsidRPr="00FA1758" w:rsidRDefault="0073065F" w:rsidP="0073065F">
      <w:pPr>
        <w:suppressAutoHyphens/>
        <w:spacing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wartość dodaną podczas przetwarzania:</w:t>
      </w:r>
      <w:r w:rsidRPr="00FA1758">
        <w:rPr>
          <w:rFonts w:ascii="Times New Roman" w:eastAsia="Times New Roman" w:hAnsi="Times New Roman"/>
          <w:lang w:eastAsia="pl-PL" w:bidi="pl-PL"/>
        </w:rPr>
        <w:tab/>
        <w:t>370,00 (300,00 + 70,00)</w:t>
      </w:r>
    </w:p>
    <w:p w:rsidR="0073065F" w:rsidRPr="00FA1758" w:rsidRDefault="0073065F" w:rsidP="0073065F">
      <w:pPr>
        <w:suppressAutoHyphens/>
        <w:spacing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koszt ubezpieczenia/transportu do granicy:</w:t>
      </w:r>
      <w:r w:rsidRPr="00FA1758">
        <w:rPr>
          <w:rFonts w:ascii="Times New Roman" w:eastAsia="Times New Roman" w:hAnsi="Times New Roman"/>
          <w:lang w:eastAsia="pl-PL" w:bidi="pl-PL"/>
        </w:rPr>
        <w:tab/>
        <w:t>5,00</w:t>
      </w:r>
    </w:p>
    <w:p w:rsidR="0073065F" w:rsidRPr="00FA1758" w:rsidRDefault="0073065F" w:rsidP="0073065F">
      <w:pPr>
        <w:suppressAutoHyphens/>
        <w:spacing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lastRenderedPageBreak/>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Pr>
          <w:rFonts w:ascii="Times New Roman" w:eastAsia="Times New Roman" w:hAnsi="Times New Roman"/>
          <w:lang w:eastAsia="pl-PL" w:bidi="pl-PL"/>
        </w:rPr>
        <w:tab/>
      </w:r>
      <w:r w:rsidRPr="00FA1758">
        <w:rPr>
          <w:rFonts w:ascii="Times New Roman" w:eastAsia="Times New Roman" w:hAnsi="Times New Roman"/>
          <w:lang w:eastAsia="pl-PL" w:bidi="pl-PL"/>
        </w:rPr>
        <w:t>1 375,00</w:t>
      </w:r>
    </w:p>
    <w:p w:rsidR="0073065F" w:rsidRPr="00FA1758" w:rsidRDefault="0073065F" w:rsidP="0073065F">
      <w:pPr>
        <w:suppressAutoHyphens/>
        <w:spacing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Do celów ustalenia wartości statystycznej w przypadku powrotnego wywozu wartość rynkowa </w:t>
      </w:r>
      <w:r w:rsidRPr="00FA1758">
        <w:rPr>
          <w:rFonts w:ascii="Times New Roman" w:eastAsia="Times New Roman" w:hAnsi="Times New Roman"/>
          <w:u w:val="single"/>
          <w:lang w:eastAsia="pl-PL" w:bidi="pl-PL"/>
        </w:rPr>
        <w:t>przetworzonej maszyny</w:t>
      </w:r>
      <w:r w:rsidRPr="00FA1758">
        <w:rPr>
          <w:rFonts w:ascii="Times New Roman" w:eastAsia="Times New Roman" w:hAnsi="Times New Roman"/>
          <w:lang w:eastAsia="pl-PL" w:bidi="pl-PL"/>
        </w:rPr>
        <w:t xml:space="preserve"> nie ma znaczenia.</w:t>
      </w:r>
    </w:p>
    <w:p w:rsidR="0073065F" w:rsidRPr="00FA1758" w:rsidRDefault="0073065F" w:rsidP="0073065F">
      <w:pPr>
        <w:suppressAutoHyphens/>
        <w:spacing w:after="120"/>
        <w:ind w:left="708"/>
        <w:jc w:val="both"/>
        <w:rPr>
          <w:rFonts w:ascii="Times New Roman" w:hAnsi="Times New Roman"/>
          <w:lang w:eastAsia="pl-PL" w:bidi="pl-PL"/>
        </w:rPr>
      </w:pPr>
      <w:r w:rsidRPr="00FA1758">
        <w:rPr>
          <w:rFonts w:ascii="Times New Roman" w:eastAsia="Times New Roman" w:hAnsi="Times New Roman"/>
          <w:lang w:eastAsia="pl-PL" w:bidi="pl-PL"/>
        </w:rPr>
        <w:t>Ta sama logika szacowania wartości miałaby zastosowanie w przypadku, gdyby maszyna ze Szwajcarii była objęta zerową stawką VAT w chwili przywozu (np. w ramach umowy preferencyjnej). Jeżeli polski przetwórca jako podatnik w rozumieniu przepisów VAT może odliczyć VAT z tytułu przywozu, może dokonać przywozu maszyny w ramach dopuszczenia do obrotu (kod procedury celnej 4000) z zastosowaniem faktury pro forma, w której wskazuje wiarygodną wartość. Przetworzona maszyna może później opuścić Unię w ramach procedury wywozu (kod procedury celnej 1000 lub 1040).</w:t>
      </w:r>
    </w:p>
    <w:p w:rsidR="0073065F" w:rsidRPr="00FA1758" w:rsidRDefault="0073065F" w:rsidP="0073065F">
      <w:pPr>
        <w:suppressAutoHyphens/>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Wartość statystyczna zostałaby obliczona według metody, jak powyżej, z wyłączeniem polskiego podatku VAT należnego z tytułu przywozu.</w:t>
      </w:r>
    </w:p>
    <w:p w:rsidR="0073065F" w:rsidRPr="00FA1758" w:rsidRDefault="0073065F" w:rsidP="0073065F">
      <w:pPr>
        <w:suppressAutoHyphens/>
        <w:jc w:val="both"/>
        <w:rPr>
          <w:rFonts w:ascii="Times New Roman" w:eastAsia="Times New Roman" w:hAnsi="Times New Roman"/>
          <w:lang w:eastAsia="pl-PL" w:bidi="pl-PL"/>
        </w:rPr>
      </w:pPr>
    </w:p>
    <w:p w:rsidR="0073065F" w:rsidRPr="00FA1758" w:rsidRDefault="0073065F" w:rsidP="0073065F">
      <w:pPr>
        <w:numPr>
          <w:ilvl w:val="0"/>
          <w:numId w:val="16"/>
        </w:numPr>
        <w:suppressAutoHyphens/>
        <w:contextualSpacing/>
        <w:jc w:val="both"/>
        <w:rPr>
          <w:rFonts w:ascii="Times New Roman" w:hAnsi="Times New Roman"/>
          <w:lang w:eastAsia="pl-PL" w:bidi="pl-PL"/>
        </w:rPr>
      </w:pPr>
      <w:r w:rsidRPr="00FA1758">
        <w:rPr>
          <w:rFonts w:ascii="Times New Roman" w:eastAsia="Times New Roman" w:hAnsi="Times New Roman"/>
          <w:lang w:eastAsia="pl-PL" w:bidi="pl-PL"/>
        </w:rPr>
        <w:t>Polska piekarnia chce produkować ciastka i sprzedawać je do Serbii. Przedsiębiorstwo to kupuje i przywozi składniki (o wartości 900,00 EUR) z państw trzecich, produkuje ciastka, dodając do nich składniki o statusie unijnym (o wartości 100,00 EUR), a następnie wysyła produkty końcowe do Serbii za cenę sprzedaży 2 000,00 EUR („CIF Belgrad”).</w:t>
      </w:r>
    </w:p>
    <w:p w:rsidR="0073065F" w:rsidRPr="00FA1758" w:rsidRDefault="0073065F" w:rsidP="0073065F">
      <w:pPr>
        <w:suppressAutoHyphens/>
        <w:spacing w:before="120" w:after="120"/>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Piekarnia prowadzi produkcję zgodnie z procedurą celną uszlachetniania czynnego. Polskim organom celnym przekazuje się zgłoszenie do powrotnego wywozu, a towary opuszczają Unią przez granicę węgierską.</w:t>
      </w:r>
    </w:p>
    <w:p w:rsidR="0073065F" w:rsidRDefault="0073065F" w:rsidP="0073065F">
      <w:pPr>
        <w:suppressAutoHyphens/>
        <w:ind w:left="708"/>
        <w:jc w:val="both"/>
        <w:rPr>
          <w:rFonts w:ascii="Times New Roman" w:eastAsia="Times New Roman" w:hAnsi="Times New Roman"/>
          <w:lang w:eastAsia="pl-PL" w:bidi="pl-PL"/>
        </w:rPr>
      </w:pPr>
      <w:r w:rsidRPr="00FA1758">
        <w:rPr>
          <w:rFonts w:ascii="Times New Roman" w:eastAsia="Times New Roman" w:hAnsi="Times New Roman"/>
          <w:lang w:eastAsia="pl-PL" w:bidi="pl-PL"/>
        </w:rPr>
        <w:t>Ponieważ wspomniany proces przetwarzania dotyczy transakcji sprzedaży, wartość wywożonych towarów odzwierciedla uzgodniona cena (2 000,00 EUR), która z ekonomicznego punktu widzenia racjonalnie zawierałaby wartość nieprzetworzonych towarów, wartość dodaną przez piekarnię na obszarze Unii oraz koszty transportu z miejsca produkcji w Polsce do Belgradu (200,00 EUR). W praktyce istnieją dwa sposoby osiągnięcia identycznej wartości statystycznej w odniesieniu do miejsca wyprowadzenia z terytorium Polski:</w:t>
      </w:r>
    </w:p>
    <w:p w:rsidR="0073065F" w:rsidRDefault="0073065F" w:rsidP="0073065F">
      <w:pPr>
        <w:suppressAutoHyphens/>
        <w:ind w:left="708"/>
        <w:jc w:val="both"/>
        <w:rPr>
          <w:rFonts w:ascii="Times New Roman" w:eastAsia="Times New Roman" w:hAnsi="Times New Roman"/>
          <w:lang w:eastAsia="pl-PL" w:bidi="pl-PL"/>
        </w:rPr>
      </w:pPr>
    </w:p>
    <w:p w:rsidR="0073065F" w:rsidRPr="00FA1758" w:rsidRDefault="0073065F" w:rsidP="0073065F">
      <w:pPr>
        <w:suppressAutoHyphens/>
        <w:ind w:left="708"/>
        <w:jc w:val="both"/>
        <w:rPr>
          <w:rFonts w:ascii="Times New Roman" w:eastAsia="Times New Roman" w:hAnsi="Times New Roman"/>
          <w:lang w:eastAsia="pl-PL" w:bidi="pl-PL"/>
        </w:rPr>
      </w:pPr>
    </w:p>
    <w:p w:rsidR="0073065F" w:rsidRPr="00FA1758" w:rsidRDefault="0073065F" w:rsidP="0073065F">
      <w:pPr>
        <w:suppressAutoHyphens/>
        <w:rPr>
          <w:rFonts w:ascii="Times New Roman" w:eastAsia="Times New Roman" w:hAnsi="Times New Roman"/>
          <w:lang w:eastAsia="pl-PL" w:bidi="pl-PL"/>
        </w:rPr>
      </w:pPr>
    </w:p>
    <w:tbl>
      <w:tblPr>
        <w:tblW w:w="0" w:type="auto"/>
        <w:tblInd w:w="567" w:type="dxa"/>
        <w:tblLayout w:type="fixed"/>
        <w:tblLook w:val="0460" w:firstRow="1" w:lastRow="1" w:firstColumn="0" w:lastColumn="0" w:noHBand="0" w:noVBand="1"/>
      </w:tblPr>
      <w:tblGrid>
        <w:gridCol w:w="6345"/>
        <w:gridCol w:w="1560"/>
        <w:gridCol w:w="1382"/>
      </w:tblGrid>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b/>
                <w:bCs/>
                <w:color w:val="000000"/>
                <w:lang w:eastAsia="pl-PL" w:bidi="pl-PL"/>
              </w:rPr>
            </w:pPr>
            <w:r w:rsidRPr="00FA1758">
              <w:rPr>
                <w:rFonts w:ascii="Times New Roman" w:eastAsia="Times New Roman" w:hAnsi="Times New Roman"/>
                <w:b/>
                <w:bCs/>
                <w:color w:val="000000"/>
                <w:lang w:eastAsia="pl-PL" w:bidi="pl-PL"/>
              </w:rPr>
              <w:t>Koszt</w:t>
            </w:r>
          </w:p>
        </w:tc>
        <w:tc>
          <w:tcPr>
            <w:tcW w:w="1560" w:type="dxa"/>
          </w:tcPr>
          <w:p w:rsidR="0073065F" w:rsidRPr="00FA1758" w:rsidRDefault="0073065F" w:rsidP="00401018">
            <w:pPr>
              <w:suppressAutoHyphens/>
              <w:spacing w:after="120"/>
              <w:rPr>
                <w:rFonts w:ascii="Times New Roman" w:eastAsia="Times New Roman" w:hAnsi="Times New Roman"/>
                <w:b/>
                <w:bCs/>
                <w:color w:val="000000"/>
                <w:lang w:eastAsia="pl-PL" w:bidi="pl-PL"/>
              </w:rPr>
            </w:pPr>
            <w:r w:rsidRPr="00FA1758">
              <w:rPr>
                <w:rFonts w:ascii="Times New Roman" w:eastAsia="Times New Roman" w:hAnsi="Times New Roman"/>
                <w:b/>
                <w:bCs/>
                <w:color w:val="000000"/>
                <w:lang w:eastAsia="pl-PL" w:bidi="pl-PL"/>
              </w:rPr>
              <w:t>Obliczona wartość statystyczna</w:t>
            </w:r>
          </w:p>
        </w:tc>
        <w:tc>
          <w:tcPr>
            <w:tcW w:w="1382" w:type="dxa"/>
          </w:tcPr>
          <w:p w:rsidR="0073065F" w:rsidRPr="00FA1758" w:rsidRDefault="0073065F" w:rsidP="00401018">
            <w:pPr>
              <w:suppressAutoHyphens/>
              <w:spacing w:after="120"/>
              <w:rPr>
                <w:rFonts w:ascii="Times New Roman" w:eastAsia="Times New Roman" w:hAnsi="Times New Roman"/>
                <w:b/>
                <w:bCs/>
                <w:color w:val="000000"/>
                <w:lang w:eastAsia="pl-PL" w:bidi="pl-PL"/>
              </w:rPr>
            </w:pPr>
            <w:r w:rsidRPr="00FA1758">
              <w:rPr>
                <w:rFonts w:ascii="Times New Roman" w:eastAsia="Times New Roman" w:hAnsi="Times New Roman"/>
                <w:b/>
                <w:bCs/>
                <w:color w:val="000000"/>
                <w:lang w:eastAsia="pl-PL" w:bidi="pl-PL"/>
              </w:rPr>
              <w:t>Wartość statystyczna oparta na sprzedaży</w:t>
            </w: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Cena sprzedaży (CIF Belgrad)</w:t>
            </w:r>
          </w:p>
        </w:tc>
        <w:tc>
          <w:tcPr>
            <w:tcW w:w="1560" w:type="dxa"/>
          </w:tcPr>
          <w:p w:rsidR="0073065F" w:rsidRPr="00FA1758" w:rsidRDefault="0073065F" w:rsidP="00401018">
            <w:pPr>
              <w:suppressAutoHyphens/>
              <w:spacing w:after="120"/>
              <w:rPr>
                <w:rFonts w:ascii="Times New Roman" w:eastAsia="Times New Roman" w:hAnsi="Times New Roman"/>
                <w:color w:val="000000"/>
                <w:lang w:eastAsia="pl-PL" w:bidi="pl-PL"/>
              </w:rPr>
            </w:pPr>
          </w:p>
        </w:tc>
        <w:tc>
          <w:tcPr>
            <w:tcW w:w="1382"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2 000,00</w:t>
            </w: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 xml:space="preserve">Wartość czasowo przywiezionych składników </w:t>
            </w:r>
          </w:p>
        </w:tc>
        <w:tc>
          <w:tcPr>
            <w:tcW w:w="1560"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900,00</w:t>
            </w:r>
          </w:p>
        </w:tc>
        <w:tc>
          <w:tcPr>
            <w:tcW w:w="1382" w:type="dxa"/>
          </w:tcPr>
          <w:p w:rsidR="0073065F" w:rsidRPr="00FA1758" w:rsidRDefault="0073065F" w:rsidP="00401018">
            <w:pPr>
              <w:suppressAutoHyphens/>
              <w:spacing w:after="120"/>
              <w:rPr>
                <w:rFonts w:ascii="Times New Roman" w:eastAsia="Times New Roman" w:hAnsi="Times New Roman"/>
                <w:color w:val="000000"/>
                <w:lang w:eastAsia="pl-PL" w:bidi="pl-PL"/>
              </w:rPr>
            </w:pP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Wartość składników dodanych, które miały status towarów unijnych</w:t>
            </w:r>
          </w:p>
        </w:tc>
        <w:tc>
          <w:tcPr>
            <w:tcW w:w="1560"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100,00</w:t>
            </w:r>
          </w:p>
        </w:tc>
        <w:tc>
          <w:tcPr>
            <w:tcW w:w="1382" w:type="dxa"/>
          </w:tcPr>
          <w:p w:rsidR="0073065F" w:rsidRPr="00FA1758" w:rsidRDefault="0073065F" w:rsidP="00401018">
            <w:pPr>
              <w:suppressAutoHyphens/>
              <w:spacing w:after="120"/>
              <w:rPr>
                <w:rFonts w:ascii="Times New Roman" w:eastAsia="Times New Roman" w:hAnsi="Times New Roman"/>
                <w:color w:val="000000"/>
                <w:lang w:eastAsia="pl-PL" w:bidi="pl-PL"/>
              </w:rPr>
            </w:pP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Komercyjna wartość dodana w Polsce</w:t>
            </w:r>
          </w:p>
        </w:tc>
        <w:tc>
          <w:tcPr>
            <w:tcW w:w="1560"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800,00</w:t>
            </w:r>
          </w:p>
        </w:tc>
        <w:tc>
          <w:tcPr>
            <w:tcW w:w="1382" w:type="dxa"/>
          </w:tcPr>
          <w:p w:rsidR="0073065F" w:rsidRPr="00FA1758" w:rsidRDefault="0073065F" w:rsidP="00401018">
            <w:pPr>
              <w:suppressAutoHyphens/>
              <w:spacing w:after="120"/>
              <w:rPr>
                <w:rFonts w:ascii="Times New Roman" w:eastAsia="Times New Roman" w:hAnsi="Times New Roman"/>
                <w:color w:val="000000"/>
                <w:lang w:eastAsia="pl-PL" w:bidi="pl-PL"/>
              </w:rPr>
            </w:pP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Proporcjonalne koszty ubezpieczenia/transportu z miejsca produkcji do granicy polsko-słowackiej (20% całkowitych kosztów transportu wynoszących 200 EUR)</w:t>
            </w:r>
          </w:p>
        </w:tc>
        <w:tc>
          <w:tcPr>
            <w:tcW w:w="1560"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t>40,00</w:t>
            </w:r>
          </w:p>
        </w:tc>
        <w:tc>
          <w:tcPr>
            <w:tcW w:w="1382" w:type="dxa"/>
          </w:tcPr>
          <w:p w:rsidR="0073065F" w:rsidRPr="00FA1758" w:rsidRDefault="0073065F" w:rsidP="00401018">
            <w:pPr>
              <w:suppressAutoHyphens/>
              <w:spacing w:after="120"/>
              <w:rPr>
                <w:rFonts w:ascii="Times New Roman" w:eastAsia="Times New Roman" w:hAnsi="Times New Roman"/>
                <w:color w:val="000000"/>
                <w:lang w:eastAsia="pl-PL" w:bidi="pl-PL"/>
              </w:rPr>
            </w:pP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color w:val="000000"/>
                <w:lang w:eastAsia="pl-PL" w:bidi="pl-PL"/>
              </w:rPr>
              <w:lastRenderedPageBreak/>
              <w:t>Proporcjonalne koszty ubezpieczenia/transportu z granicy polsko-słowackiej do Belgradu (80% całkowitych kosztów transportu wynoszących 200 EUR)</w:t>
            </w:r>
          </w:p>
        </w:tc>
        <w:tc>
          <w:tcPr>
            <w:tcW w:w="1560" w:type="dxa"/>
          </w:tcPr>
          <w:p w:rsidR="0073065F" w:rsidRPr="00FA1758" w:rsidRDefault="0073065F" w:rsidP="00401018">
            <w:pPr>
              <w:suppressAutoHyphens/>
              <w:spacing w:after="120"/>
              <w:rPr>
                <w:rFonts w:ascii="Times New Roman" w:eastAsia="Times New Roman" w:hAnsi="Times New Roman"/>
                <w:color w:val="000000"/>
                <w:lang w:eastAsia="pl-PL" w:bidi="pl-PL"/>
              </w:rPr>
            </w:pPr>
          </w:p>
        </w:tc>
        <w:tc>
          <w:tcPr>
            <w:tcW w:w="1382" w:type="dxa"/>
          </w:tcPr>
          <w:p w:rsidR="0073065F" w:rsidRPr="00FA1758" w:rsidRDefault="0073065F" w:rsidP="00401018">
            <w:pPr>
              <w:suppressAutoHyphens/>
              <w:spacing w:after="120"/>
              <w:rPr>
                <w:rFonts w:ascii="Times New Roman" w:eastAsia="Times New Roman" w:hAnsi="Times New Roman"/>
                <w:color w:val="000000"/>
                <w:lang w:eastAsia="pl-PL" w:bidi="pl-PL"/>
              </w:rPr>
            </w:pPr>
            <w:r w:rsidRPr="00FA1758">
              <w:rPr>
                <w:rFonts w:ascii="Times New Roman" w:eastAsia="Times New Roman" w:hAnsi="Times New Roman"/>
                <w:lang w:eastAsia="pl-PL" w:bidi="pl-PL"/>
              </w:rPr>
              <w:t>- 160,00</w:t>
            </w:r>
          </w:p>
        </w:tc>
      </w:tr>
      <w:tr w:rsidR="0073065F" w:rsidRPr="00FA1758" w:rsidTr="00401018">
        <w:tc>
          <w:tcPr>
            <w:tcW w:w="6345" w:type="dxa"/>
          </w:tcPr>
          <w:p w:rsidR="0073065F" w:rsidRPr="00FA1758" w:rsidRDefault="0073065F" w:rsidP="00401018">
            <w:pPr>
              <w:suppressAutoHyphens/>
              <w:spacing w:after="120"/>
              <w:rPr>
                <w:rFonts w:ascii="Times New Roman" w:eastAsia="Times New Roman" w:hAnsi="Times New Roman"/>
                <w:b/>
                <w:bCs/>
                <w:color w:val="000000"/>
                <w:lang w:eastAsia="pl-PL" w:bidi="pl-PL"/>
              </w:rPr>
            </w:pPr>
            <w:r w:rsidRPr="00FA1758">
              <w:rPr>
                <w:rFonts w:ascii="Times New Roman" w:eastAsia="Times New Roman" w:hAnsi="Times New Roman"/>
                <w:b/>
                <w:bCs/>
                <w:color w:val="000000"/>
                <w:lang w:eastAsia="pl-PL" w:bidi="pl-PL"/>
              </w:rPr>
              <w:t>WARTOŚĆ statystyczna</w:t>
            </w:r>
          </w:p>
        </w:tc>
        <w:tc>
          <w:tcPr>
            <w:tcW w:w="1560" w:type="dxa"/>
          </w:tcPr>
          <w:p w:rsidR="0073065F" w:rsidRPr="00FA1758" w:rsidRDefault="0073065F" w:rsidP="00401018">
            <w:pPr>
              <w:suppressAutoHyphens/>
              <w:spacing w:after="120"/>
              <w:rPr>
                <w:rFonts w:ascii="Times New Roman" w:eastAsia="Times New Roman" w:hAnsi="Times New Roman"/>
                <w:b/>
                <w:bCs/>
                <w:color w:val="000000"/>
                <w:lang w:eastAsia="pl-PL" w:bidi="pl-PL"/>
              </w:rPr>
            </w:pPr>
            <w:r w:rsidRPr="00FA1758">
              <w:rPr>
                <w:rFonts w:ascii="Times New Roman" w:eastAsia="Times New Roman" w:hAnsi="Times New Roman"/>
                <w:b/>
                <w:bCs/>
                <w:color w:val="000000"/>
                <w:lang w:eastAsia="pl-PL" w:bidi="pl-PL"/>
              </w:rPr>
              <w:t>= 1 840,00</w:t>
            </w:r>
          </w:p>
        </w:tc>
        <w:tc>
          <w:tcPr>
            <w:tcW w:w="1382" w:type="dxa"/>
          </w:tcPr>
          <w:p w:rsidR="0073065F" w:rsidRPr="00FA1758" w:rsidRDefault="0073065F" w:rsidP="00401018">
            <w:pPr>
              <w:suppressAutoHyphens/>
              <w:spacing w:after="120"/>
              <w:rPr>
                <w:rFonts w:ascii="Times New Roman" w:eastAsia="Times New Roman" w:hAnsi="Times New Roman"/>
                <w:b/>
                <w:bCs/>
                <w:color w:val="000000"/>
                <w:lang w:eastAsia="pl-PL" w:bidi="pl-PL"/>
              </w:rPr>
            </w:pPr>
            <w:r w:rsidRPr="00FA1758">
              <w:rPr>
                <w:rFonts w:ascii="Times New Roman" w:eastAsia="Times New Roman" w:hAnsi="Times New Roman"/>
                <w:b/>
                <w:bCs/>
                <w:color w:val="000000"/>
                <w:lang w:eastAsia="pl-PL" w:bidi="pl-PL"/>
              </w:rPr>
              <w:t>= 1 840,00</w:t>
            </w:r>
          </w:p>
        </w:tc>
      </w:tr>
    </w:tbl>
    <w:p w:rsidR="0073065F" w:rsidRPr="00FA1758" w:rsidRDefault="0073065F" w:rsidP="0073065F">
      <w:pPr>
        <w:suppressAutoHyphens/>
        <w:spacing w:before="360" w:after="240"/>
        <w:rPr>
          <w:rFonts w:ascii="Times New Roman" w:eastAsia="Times New Roman" w:hAnsi="Times New Roman"/>
          <w:b/>
          <w:bCs/>
          <w:spacing w:val="5"/>
          <w:lang w:eastAsia="pl-PL" w:bidi="pl-PL"/>
        </w:rPr>
      </w:pPr>
      <w:r w:rsidRPr="00FA1758">
        <w:rPr>
          <w:rFonts w:ascii="Times New Roman" w:eastAsia="Times New Roman" w:hAnsi="Times New Roman"/>
          <w:b/>
          <w:spacing w:val="5"/>
          <w:lang w:eastAsia="pl-PL" w:bidi="pl-PL"/>
        </w:rPr>
        <w:t>Przeliczanie waluty</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Wartość statystyczna musi być wyrażona w walucie krajowej państwa członkowskiego, w którym składane jest zgłoszenie celne. Wartości podane w dokumentach i wyrażone w innej walucie (np. w zafakturowanej walucie towarów), należy przeliczyć. Kursem wymiany walut, który należy stosować, jest kurs z dnia przyjęcia zgłoszenia celnego zgodnie z unijnymi przepisami celnymi dotyczącymi przeliczania waluty w celu ustalenia wartości celnej (art. 146 UKC-RW).</w:t>
      </w:r>
    </w:p>
    <w:p w:rsidR="0073065F" w:rsidRPr="000E0C3E" w:rsidRDefault="0073065F" w:rsidP="0073065F">
      <w:pPr>
        <w:suppressAutoHyphens/>
        <w:spacing w:before="360" w:after="240"/>
        <w:rPr>
          <w:rFonts w:ascii="Times New Roman" w:hAnsi="Times New Roman"/>
          <w:i/>
          <w:lang w:eastAsia="pl-PL" w:bidi="pl-PL"/>
        </w:rPr>
      </w:pPr>
      <w:r w:rsidRPr="000E0C3E">
        <w:rPr>
          <w:rFonts w:ascii="Times New Roman" w:hAnsi="Times New Roman"/>
          <w:b/>
          <w:i/>
          <w:lang w:eastAsia="pl-PL" w:bidi="pl-PL"/>
        </w:rPr>
        <w:t>Przykłady:</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1.1.</w:t>
      </w:r>
      <w:r w:rsidRPr="00FA1758">
        <w:rPr>
          <w:rFonts w:ascii="Times New Roman" w:eastAsia="Times New Roman" w:hAnsi="Times New Roman"/>
          <w:lang w:eastAsia="pl-PL" w:bidi="pl-PL"/>
        </w:rPr>
        <w:tab/>
      </w:r>
      <w:r w:rsidRPr="00FA1758">
        <w:rPr>
          <w:rFonts w:ascii="Times New Roman" w:eastAsia="Times New Roman" w:hAnsi="Times New Roman"/>
          <w:b/>
          <w:lang w:eastAsia="pl-PL" w:bidi="pl-PL"/>
        </w:rPr>
        <w:t xml:space="preserve">Warunki dostawy EXW „Miejsce wysyłki” </w:t>
      </w:r>
      <w:r w:rsidRPr="00FA1758">
        <w:rPr>
          <w:rFonts w:ascii="Times New Roman" w:eastAsia="Times New Roman" w:hAnsi="Times New Roman"/>
          <w:lang w:eastAsia="pl-PL" w:bidi="pl-PL"/>
        </w:rPr>
        <w:t xml:space="preserve">(zafakturowana kwota nie obejmuje kosztów frachtu) </w:t>
      </w:r>
    </w:p>
    <w:p w:rsidR="0073065F" w:rsidRPr="00FA1758" w:rsidRDefault="0073065F" w:rsidP="0073065F">
      <w:pPr>
        <w:suppressAutoHyphens/>
        <w:spacing w:before="240"/>
        <w:jc w:val="both"/>
        <w:rPr>
          <w:rFonts w:ascii="Times New Roman" w:eastAsia="Times New Roman" w:hAnsi="Times New Roman"/>
          <w:b/>
          <w:lang w:eastAsia="pl-PL" w:bidi="pl-PL"/>
        </w:rPr>
      </w:pPr>
      <w:r w:rsidRPr="00FA1758">
        <w:rPr>
          <w:rFonts w:ascii="Times New Roman" w:eastAsia="Times New Roman" w:hAnsi="Times New Roman"/>
          <w:noProof/>
          <w:lang w:eastAsia="pl-PL"/>
        </w:rPr>
        <w:drawing>
          <wp:inline distT="0" distB="0" distL="0" distR="0" wp14:anchorId="54214231" wp14:editId="1AF52439">
            <wp:extent cx="6134735" cy="1333500"/>
            <wp:effectExtent l="0" t="0" r="37465" b="0"/>
            <wp:docPr id="2" name="Kaaviokuv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3065F" w:rsidRPr="00FA1758" w:rsidRDefault="0073065F" w:rsidP="0073065F">
      <w:pPr>
        <w:suppressAutoHyphens/>
        <w:spacing w:before="240" w:after="240"/>
        <w:jc w:val="both"/>
        <w:rPr>
          <w:rFonts w:ascii="Times New Roman" w:eastAsia="Times New Roman" w:hAnsi="Times New Roman"/>
          <w:b/>
          <w:lang w:eastAsia="pl-PL" w:bidi="pl-PL"/>
        </w:rPr>
      </w:pPr>
      <w:r w:rsidRPr="00FA1758">
        <w:rPr>
          <w:rFonts w:ascii="Times New Roman" w:eastAsia="Times New Roman" w:hAnsi="Times New Roman"/>
          <w:b/>
          <w:lang w:eastAsia="pl-PL" w:bidi="pl-PL"/>
        </w:rPr>
        <w:t>Wartość statystyczna = kwota zafakturowana + koszty frachtu (koszty dodatkowe takie jak transport i ubezpieczenie) od miejsca załadunku do granicy państwa członkowskiego wywozu.</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Zgodnie z warunkami dostawy „EXW”, aby uzyskać wartość statystyczną, należy uwzględnić koszty frachtu do granicy państwa członkowskiego wywozu. </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Zafakturowana kwota = 2 000,00 EUR</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Transport + ubezpieczenie [od miejsca wysyłki do granicy państwa członkowskiego wywozu] =</w:t>
      </w:r>
      <w:r w:rsidRPr="00FA1758">
        <w:rPr>
          <w:rFonts w:ascii="Times New Roman" w:eastAsia="Times New Roman" w:hAnsi="Times New Roman"/>
          <w:lang w:eastAsia="pl-PL" w:bidi="pl-PL"/>
        </w:rPr>
        <w:tab/>
        <w:t>1 000,00 EUR</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Wartość statystyczna = </w:t>
      </w:r>
      <w:r>
        <w:rPr>
          <w:rFonts w:ascii="Times New Roman" w:eastAsia="Times New Roman" w:hAnsi="Times New Roman"/>
          <w:lang w:eastAsia="pl-PL" w:bidi="pl-PL"/>
        </w:rPr>
        <w:t xml:space="preserve"> </w:t>
      </w:r>
      <w:r w:rsidRPr="00FA1758">
        <w:rPr>
          <w:rFonts w:ascii="Times New Roman" w:eastAsia="Times New Roman" w:hAnsi="Times New Roman"/>
          <w:b/>
          <w:lang w:eastAsia="pl-PL" w:bidi="pl-PL"/>
        </w:rPr>
        <w:t>3 000,00 EUR</w:t>
      </w:r>
    </w:p>
    <w:p w:rsidR="0073065F" w:rsidRPr="00FA1758" w:rsidRDefault="0073065F" w:rsidP="0073065F">
      <w:pPr>
        <w:suppressAutoHyphens/>
        <w:spacing w:before="240"/>
        <w:jc w:val="both"/>
        <w:rPr>
          <w:rFonts w:ascii="Times New Roman" w:eastAsia="Times New Roman" w:hAnsi="Times New Roman"/>
          <w:lang w:eastAsia="pl-PL" w:bidi="pl-PL"/>
        </w:rPr>
      </w:pPr>
      <w:r w:rsidRPr="00FA1758">
        <w:rPr>
          <w:rFonts w:ascii="Times New Roman" w:eastAsia="Times New Roman" w:hAnsi="Times New Roman"/>
          <w:lang w:eastAsia="pl-PL" w:bidi="pl-PL"/>
        </w:rPr>
        <w:t>1.2.</w:t>
      </w:r>
      <w:r w:rsidRPr="00FA1758">
        <w:rPr>
          <w:rFonts w:ascii="Times New Roman" w:eastAsia="Times New Roman" w:hAnsi="Times New Roman"/>
          <w:lang w:eastAsia="pl-PL" w:bidi="pl-PL"/>
        </w:rPr>
        <w:tab/>
      </w:r>
      <w:r w:rsidRPr="00FA1758">
        <w:rPr>
          <w:rFonts w:ascii="Times New Roman" w:eastAsia="Times New Roman" w:hAnsi="Times New Roman"/>
          <w:b/>
          <w:lang w:eastAsia="pl-PL" w:bidi="pl-PL"/>
        </w:rPr>
        <w:t>Warunki dostawy CIF „Ustalone miejsce dostawy”</w:t>
      </w:r>
      <w:r w:rsidRPr="00FA1758">
        <w:rPr>
          <w:rFonts w:ascii="Times New Roman" w:eastAsia="Times New Roman" w:hAnsi="Times New Roman"/>
          <w:lang w:eastAsia="pl-PL" w:bidi="pl-PL"/>
        </w:rPr>
        <w:t xml:space="preserve"> (kwota zafakturowana obejmuje koszty frachtu od miejsca wysyłki do miejsca „D”)</w:t>
      </w:r>
    </w:p>
    <w:p w:rsidR="0073065F" w:rsidRPr="00FA1758" w:rsidRDefault="0073065F" w:rsidP="0073065F">
      <w:pPr>
        <w:suppressAutoHyphens/>
        <w:jc w:val="both"/>
        <w:rPr>
          <w:rFonts w:ascii="Times New Roman" w:eastAsia="Times New Roman" w:hAnsi="Times New Roman"/>
          <w:b/>
          <w:lang w:eastAsia="pl-PL" w:bidi="pl-PL"/>
        </w:rPr>
      </w:pPr>
      <w:r w:rsidRPr="00FA1758">
        <w:rPr>
          <w:rFonts w:ascii="Times New Roman" w:eastAsia="Times New Roman" w:hAnsi="Times New Roman"/>
          <w:noProof/>
          <w:lang w:eastAsia="pl-PL"/>
        </w:rPr>
        <w:drawing>
          <wp:inline distT="0" distB="0" distL="0" distR="0" wp14:anchorId="497B710E" wp14:editId="1FACF177">
            <wp:extent cx="6120130" cy="1060459"/>
            <wp:effectExtent l="0" t="0" r="33020" b="0"/>
            <wp:docPr id="3" name="Kaaviokuv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FA1758">
        <w:rPr>
          <w:rFonts w:ascii="Times New Roman" w:eastAsia="Times New Roman" w:hAnsi="Times New Roman"/>
          <w:b/>
          <w:lang w:eastAsia="pl-PL" w:bidi="pl-PL"/>
        </w:rPr>
        <w:t xml:space="preserve">Wartość statystyczna = kwota zafakturowana – koszty frachtu (koszty dodatkowe takie </w:t>
      </w:r>
      <w:r w:rsidRPr="00FA1758">
        <w:rPr>
          <w:rFonts w:ascii="Times New Roman" w:eastAsia="Times New Roman" w:hAnsi="Times New Roman"/>
          <w:b/>
          <w:lang w:eastAsia="pl-PL" w:bidi="pl-PL"/>
        </w:rPr>
        <w:lastRenderedPageBreak/>
        <w:t>jak transport i ubezpieczenie) od granicy państwa członkowskiego wywozu do ustalonego miejsca dostawy.</w:t>
      </w:r>
    </w:p>
    <w:p w:rsidR="0073065F" w:rsidRPr="00FA1758" w:rsidRDefault="0073065F" w:rsidP="0073065F">
      <w:pPr>
        <w:suppressAutoHyphens/>
        <w:spacing w:before="120"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Ustalone miejsce dostawy znajduje się poza państwem członkowskim wywozu, zatem koszty transportu od granicy do miejsca dostawy należy z wartości statystycznej wyłączyć.</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Zgłoszenie wywozowe zawiera dwie pozycje, w związku z tym koszty frachtu należy obliczyć dla obu pozycji proporcjonalnie.</w:t>
      </w:r>
    </w:p>
    <w:p w:rsidR="0073065F" w:rsidRPr="00FA1758" w:rsidRDefault="0073065F" w:rsidP="0073065F">
      <w:pPr>
        <w:suppressAutoHyphens/>
        <w:jc w:val="both"/>
        <w:rPr>
          <w:rFonts w:ascii="Times New Roman" w:eastAsia="Times New Roman" w:hAnsi="Times New Roman"/>
          <w:lang w:eastAsia="pl-PL" w:bidi="pl-PL"/>
        </w:rPr>
      </w:pP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Kwota zafakturowana dla dwóch pozycji:</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pozycja 1 (0,75m3):</w:t>
      </w:r>
      <w:r>
        <w:rPr>
          <w:rFonts w:ascii="Times New Roman" w:eastAsia="Times New Roman" w:hAnsi="Times New Roman"/>
          <w:lang w:eastAsia="pl-PL" w:bidi="pl-PL"/>
        </w:rPr>
        <w:tab/>
      </w:r>
      <w:r>
        <w:rPr>
          <w:rFonts w:ascii="Times New Roman" w:eastAsia="Times New Roman" w:hAnsi="Times New Roman"/>
          <w:lang w:eastAsia="pl-PL" w:bidi="pl-PL"/>
        </w:rPr>
        <w:tab/>
      </w:r>
      <w:r w:rsidRPr="00FA1758">
        <w:rPr>
          <w:rFonts w:ascii="Times New Roman" w:eastAsia="Times New Roman" w:hAnsi="Times New Roman"/>
          <w:lang w:eastAsia="pl-PL" w:bidi="pl-PL"/>
        </w:rPr>
        <w:t>3 450,00 EUR</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pozycja 2 (2m3)</w:t>
      </w:r>
      <w:r>
        <w:rPr>
          <w:rFonts w:ascii="Times New Roman" w:eastAsia="Times New Roman" w:hAnsi="Times New Roman"/>
          <w:lang w:eastAsia="pl-PL" w:bidi="pl-PL"/>
        </w:rPr>
        <w:t>:</w:t>
      </w:r>
      <w:r>
        <w:rPr>
          <w:rFonts w:ascii="Times New Roman" w:eastAsia="Times New Roman" w:hAnsi="Times New Roman"/>
          <w:lang w:eastAsia="pl-PL" w:bidi="pl-PL"/>
        </w:rPr>
        <w:tab/>
      </w:r>
      <w:r>
        <w:rPr>
          <w:rFonts w:ascii="Times New Roman" w:eastAsia="Times New Roman" w:hAnsi="Times New Roman"/>
          <w:lang w:eastAsia="pl-PL" w:bidi="pl-PL"/>
        </w:rPr>
        <w:tab/>
      </w:r>
      <w:r w:rsidRPr="00FA1758">
        <w:rPr>
          <w:rFonts w:ascii="Times New Roman" w:eastAsia="Times New Roman" w:hAnsi="Times New Roman"/>
          <w:lang w:eastAsia="pl-PL" w:bidi="pl-PL"/>
        </w:rPr>
        <w:t>2 780,20 EUR</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Całkowita odległość = 1 200 km, odległość: miejsce wysyłki </w:t>
      </w:r>
      <w:r w:rsidRPr="00FA1758">
        <w:rPr>
          <w:rFonts w:ascii="Times New Roman" w:eastAsia="Times New Roman" w:hAnsi="Times New Roman"/>
          <w:lang w:eastAsia="pl-PL" w:bidi="pl-PL"/>
        </w:rPr>
        <w:sym w:font="Wingdings" w:char="F0E0"/>
      </w:r>
      <w:r w:rsidRPr="00FA1758">
        <w:rPr>
          <w:rFonts w:ascii="Times New Roman" w:eastAsia="Times New Roman" w:hAnsi="Times New Roman"/>
          <w:lang w:eastAsia="pl-PL" w:bidi="pl-PL"/>
        </w:rPr>
        <w:t xml:space="preserve"> granica państwa członkowskiego wywozu = 1 000 km, granica państwa członkowskiego wywozu </w:t>
      </w:r>
      <w:r w:rsidRPr="00FA1758">
        <w:rPr>
          <w:rFonts w:ascii="Times New Roman" w:eastAsia="Times New Roman" w:hAnsi="Times New Roman"/>
          <w:lang w:eastAsia="pl-PL" w:bidi="pl-PL"/>
        </w:rPr>
        <w:sym w:font="Wingdings" w:char="F0E0"/>
      </w:r>
      <w:r w:rsidRPr="00FA1758">
        <w:rPr>
          <w:rFonts w:ascii="Times New Roman" w:eastAsia="Times New Roman" w:hAnsi="Times New Roman"/>
          <w:lang w:eastAsia="pl-PL" w:bidi="pl-PL"/>
        </w:rPr>
        <w:t xml:space="preserve"> ustalone miejsce dostawy = 200 km</w:t>
      </w:r>
      <w:r>
        <w:rPr>
          <w:rFonts w:ascii="Times New Roman" w:eastAsia="Times New Roman" w:hAnsi="Times New Roman"/>
          <w:lang w:eastAsia="pl-PL" w:bidi="pl-PL"/>
        </w:rPr>
        <w:t>.</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Całkowite koszty frachtu: miejsce wysyłki </w:t>
      </w:r>
      <w:r w:rsidRPr="00FA1758">
        <w:rPr>
          <w:rFonts w:ascii="Times New Roman" w:eastAsia="Times New Roman" w:hAnsi="Times New Roman"/>
          <w:lang w:eastAsia="pl-PL" w:bidi="pl-PL"/>
        </w:rPr>
        <w:sym w:font="Wingdings" w:char="F0E0"/>
      </w:r>
      <w:r w:rsidRPr="00FA1758">
        <w:rPr>
          <w:rFonts w:ascii="Times New Roman" w:eastAsia="Times New Roman" w:hAnsi="Times New Roman"/>
          <w:lang w:eastAsia="pl-PL" w:bidi="pl-PL"/>
        </w:rPr>
        <w:t xml:space="preserve"> ustalone miejsce dostawy =</w:t>
      </w:r>
      <w:r w:rsidRPr="00FA1758">
        <w:rPr>
          <w:rFonts w:ascii="Times New Roman" w:eastAsia="Times New Roman" w:hAnsi="Times New Roman"/>
          <w:lang w:eastAsia="pl-PL" w:bidi="pl-PL"/>
        </w:rPr>
        <w:tab/>
        <w:t>1 200,00 EUR</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Proporcjonalne koszty frachtu: granica </w:t>
      </w:r>
      <w:r w:rsidRPr="00FA1758">
        <w:rPr>
          <w:rFonts w:ascii="Times New Roman" w:eastAsia="Times New Roman" w:hAnsi="Times New Roman"/>
          <w:lang w:eastAsia="pl-PL" w:bidi="pl-PL"/>
        </w:rPr>
        <w:sym w:font="Wingdings" w:char="F0E0"/>
      </w:r>
      <w:r w:rsidRPr="00FA1758">
        <w:rPr>
          <w:rFonts w:ascii="Times New Roman" w:eastAsia="Times New Roman" w:hAnsi="Times New Roman"/>
          <w:lang w:eastAsia="pl-PL" w:bidi="pl-PL"/>
        </w:rPr>
        <w:t xml:space="preserve"> ustalone miejsce dostawy =</w:t>
      </w:r>
      <w:r>
        <w:rPr>
          <w:rFonts w:ascii="Times New Roman" w:eastAsia="Times New Roman" w:hAnsi="Times New Roman"/>
          <w:lang w:eastAsia="pl-PL" w:bidi="pl-PL"/>
        </w:rPr>
        <w:t xml:space="preserve"> </w:t>
      </w:r>
      <w:r w:rsidRPr="00FA1758">
        <w:rPr>
          <w:rFonts w:ascii="Times New Roman" w:eastAsia="Times New Roman" w:hAnsi="Times New Roman"/>
          <w:lang w:eastAsia="pl-PL" w:bidi="pl-PL"/>
        </w:rPr>
        <w:t>200,00 EUR dla obu pozycji</w:t>
      </w:r>
    </w:p>
    <w:p w:rsidR="0073065F" w:rsidRPr="00FA1758" w:rsidRDefault="0073065F" w:rsidP="0073065F">
      <w:pPr>
        <w:suppressAutoHyphens/>
        <w:spacing w:before="240"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Wartość statystyczną należy podać w sposób następujący:</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pozycja 1</w:t>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b/>
          <w:lang w:eastAsia="pl-PL" w:bidi="pl-PL"/>
        </w:rPr>
        <w:t>3 396,00</w:t>
      </w:r>
      <w:r w:rsidRPr="00FA1758">
        <w:rPr>
          <w:rFonts w:ascii="Times New Roman" w:eastAsia="Times New Roman" w:hAnsi="Times New Roman"/>
          <w:lang w:eastAsia="pl-PL" w:bidi="pl-PL"/>
        </w:rPr>
        <w:t xml:space="preserve"> (3 450,00 – 54,00)</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pozycja 2</w:t>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lang w:eastAsia="pl-PL" w:bidi="pl-PL"/>
        </w:rPr>
        <w:tab/>
      </w:r>
      <w:r w:rsidRPr="00FA1758">
        <w:rPr>
          <w:rFonts w:ascii="Times New Roman" w:eastAsia="Times New Roman" w:hAnsi="Times New Roman"/>
          <w:b/>
          <w:lang w:eastAsia="pl-PL" w:bidi="pl-PL"/>
        </w:rPr>
        <w:t>2 634,20</w:t>
      </w:r>
      <w:r w:rsidRPr="00FA1758">
        <w:rPr>
          <w:rFonts w:ascii="Times New Roman" w:eastAsia="Times New Roman" w:hAnsi="Times New Roman"/>
          <w:lang w:eastAsia="pl-PL" w:bidi="pl-PL"/>
        </w:rPr>
        <w:t xml:space="preserve"> (2 780,20 – 146,00)</w:t>
      </w:r>
    </w:p>
    <w:p w:rsidR="0073065F" w:rsidRPr="00FA1758" w:rsidRDefault="0073065F" w:rsidP="0073065F">
      <w:pPr>
        <w:suppressAutoHyphens/>
        <w:jc w:val="both"/>
        <w:rPr>
          <w:rFonts w:ascii="Times New Roman" w:eastAsia="Times New Roman" w:hAnsi="Times New Roman"/>
          <w:lang w:eastAsia="pl-PL" w:bidi="pl-PL"/>
        </w:rPr>
      </w:pPr>
      <w:r w:rsidRPr="00FA1758">
        <w:rPr>
          <w:rFonts w:ascii="Times New Roman" w:eastAsia="Times New Roman" w:hAnsi="Times New Roman"/>
          <w:lang w:eastAsia="pl-PL" w:bidi="pl-PL"/>
        </w:rPr>
        <w:t>Stosunek kosztów frachtu pomiędzy pozycjami 1 i 2 wynosi 8:3 pod względem objętości.</w:t>
      </w:r>
    </w:p>
    <w:p w:rsidR="0073065F" w:rsidRPr="00FA1758" w:rsidRDefault="0073065F" w:rsidP="0073065F">
      <w:pPr>
        <w:suppressAutoHyphens/>
        <w:spacing w:before="240"/>
        <w:jc w:val="both"/>
        <w:rPr>
          <w:rFonts w:ascii="Times New Roman" w:eastAsia="Times New Roman" w:hAnsi="Times New Roman"/>
          <w:lang w:eastAsia="pl-PL" w:bidi="pl-PL"/>
        </w:rPr>
      </w:pPr>
      <w:r w:rsidRPr="00FA1758">
        <w:rPr>
          <w:rFonts w:ascii="Times New Roman" w:eastAsia="Times New Roman" w:hAnsi="Times New Roman"/>
          <w:lang w:eastAsia="pl-PL" w:bidi="pl-PL"/>
        </w:rPr>
        <w:t>1.3.</w:t>
      </w:r>
      <w:r w:rsidRPr="00FA1758">
        <w:rPr>
          <w:rFonts w:ascii="Times New Roman" w:eastAsia="Times New Roman" w:hAnsi="Times New Roman"/>
          <w:lang w:eastAsia="pl-PL" w:bidi="pl-PL"/>
        </w:rPr>
        <w:tab/>
      </w:r>
      <w:r w:rsidRPr="00FA1758">
        <w:rPr>
          <w:rFonts w:ascii="Times New Roman" w:eastAsia="Times New Roman" w:hAnsi="Times New Roman"/>
          <w:b/>
          <w:lang w:eastAsia="pl-PL" w:bidi="pl-PL"/>
        </w:rPr>
        <w:t>Warunki dostawy DDU „Miejsce przeznaczenia”</w:t>
      </w:r>
      <w:r w:rsidRPr="00FA1758">
        <w:rPr>
          <w:rFonts w:ascii="Times New Roman" w:eastAsia="Times New Roman" w:hAnsi="Times New Roman"/>
          <w:lang w:eastAsia="pl-PL" w:bidi="pl-PL"/>
        </w:rPr>
        <w:t xml:space="preserve"> (kwota zafakturowana obejmuje koszty frachtu od miejsca wysyłki do miejsca przeznaczenia)</w:t>
      </w:r>
    </w:p>
    <w:p w:rsidR="0073065F" w:rsidRPr="00FA1758" w:rsidRDefault="0073065F" w:rsidP="0073065F">
      <w:pPr>
        <w:suppressAutoHyphens/>
        <w:rPr>
          <w:rFonts w:ascii="Times New Roman" w:eastAsia="Times New Roman" w:hAnsi="Times New Roman"/>
          <w:b/>
          <w:lang w:eastAsia="pl-PL" w:bidi="pl-PL"/>
        </w:rPr>
      </w:pPr>
      <w:r w:rsidRPr="00FA1758">
        <w:rPr>
          <w:rFonts w:ascii="Times New Roman" w:eastAsia="Times New Roman" w:hAnsi="Times New Roman"/>
          <w:noProof/>
          <w:lang w:eastAsia="pl-PL"/>
        </w:rPr>
        <w:drawing>
          <wp:inline distT="0" distB="0" distL="0" distR="0" wp14:anchorId="48B831BB" wp14:editId="5D58A20E">
            <wp:extent cx="6120130" cy="1060459"/>
            <wp:effectExtent l="0" t="0" r="33020" b="0"/>
            <wp:docPr id="4" name="Kaaviokuv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3065F" w:rsidRPr="00FA1758" w:rsidRDefault="0073065F" w:rsidP="0073065F">
      <w:pPr>
        <w:suppressAutoHyphens/>
        <w:spacing w:before="240" w:after="120"/>
        <w:jc w:val="both"/>
        <w:rPr>
          <w:rFonts w:ascii="Times New Roman" w:eastAsia="Times New Roman" w:hAnsi="Times New Roman"/>
          <w:b/>
          <w:lang w:eastAsia="pl-PL" w:bidi="pl-PL"/>
        </w:rPr>
      </w:pPr>
      <w:r w:rsidRPr="00FA1758">
        <w:rPr>
          <w:rFonts w:ascii="Times New Roman" w:eastAsia="Times New Roman" w:hAnsi="Times New Roman"/>
          <w:b/>
          <w:lang w:eastAsia="pl-PL" w:bidi="pl-PL"/>
        </w:rPr>
        <w:t>Wartość statystyczna = kwota zafakturowana – koszty frachtu (koszty dodatkowe takie jak transport i ubezpieczenie) od granicy państwa członkowskiego wywozu do miejsca przeznaczenia.</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Miejsce przeznaczenia znajduje się poza państwem członkowskim wywozu, zatem koszty transportu od granicy do miejsca przeznaczenia należy z wartości statystycznej wyłączyć.</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 xml:space="preserve">Państwem członkowskim wywozu jest Szwecja; kwota zafakturowana nie jest wyrażona w walucie krajowej, więc musi zostać przeliczona. </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Kwota zafakturowana dla jednej pozycji:</w:t>
      </w:r>
      <w:r w:rsidRPr="00FA1758">
        <w:rPr>
          <w:rFonts w:ascii="Times New Roman" w:eastAsia="Times New Roman" w:hAnsi="Times New Roman"/>
          <w:lang w:eastAsia="pl-PL" w:bidi="pl-PL"/>
        </w:rPr>
        <w:tab/>
        <w:t>5 600,00 USD</w:t>
      </w:r>
    </w:p>
    <w:p w:rsidR="0073065F" w:rsidRPr="00FA1758" w:rsidRDefault="0073065F" w:rsidP="0073065F">
      <w:pPr>
        <w:suppressAutoHyphens/>
        <w:spacing w:after="120"/>
        <w:jc w:val="both"/>
        <w:rPr>
          <w:rFonts w:ascii="Times New Roman" w:eastAsia="Times New Roman" w:hAnsi="Times New Roman"/>
          <w:lang w:eastAsia="pl-PL" w:bidi="pl-PL"/>
        </w:rPr>
      </w:pPr>
      <w:r w:rsidRPr="00FA1758">
        <w:rPr>
          <w:rFonts w:ascii="Times New Roman" w:eastAsia="Times New Roman" w:hAnsi="Times New Roman"/>
          <w:lang w:eastAsia="pl-PL" w:bidi="pl-PL"/>
        </w:rPr>
        <w:t>Obliczone koszty frachtu od granicy państwa członkowskiego wywozu do miejsca przeznaczenia: 1 200,00 USD.</w:t>
      </w:r>
    </w:p>
    <w:p w:rsidR="0073065F" w:rsidRPr="00FA1758" w:rsidRDefault="0073065F" w:rsidP="0073065F">
      <w:pPr>
        <w:suppressAutoHyphens/>
        <w:spacing w:after="240"/>
        <w:jc w:val="both"/>
        <w:rPr>
          <w:rFonts w:ascii="Times New Roman" w:eastAsia="Times New Roman" w:hAnsi="Times New Roman"/>
          <w:lang w:eastAsia="pl-PL" w:bidi="pl-PL"/>
        </w:rPr>
      </w:pPr>
      <w:r w:rsidRPr="00FA1758">
        <w:rPr>
          <w:rFonts w:ascii="Times New Roman" w:eastAsia="Times New Roman" w:hAnsi="Times New Roman"/>
          <w:lang w:eastAsia="pl-PL" w:bidi="pl-PL"/>
        </w:rPr>
        <w:t>Oficjalny krajowy kurs wymiany: 1 USD = 8,59950 SEK (koron szwedzkich)</w:t>
      </w:r>
    </w:p>
    <w:tbl>
      <w:tblPr>
        <w:tblW w:w="0" w:type="auto"/>
        <w:tblInd w:w="1871" w:type="dxa"/>
        <w:tblLayout w:type="fixed"/>
        <w:tblCellMar>
          <w:left w:w="70" w:type="dxa"/>
          <w:right w:w="70" w:type="dxa"/>
        </w:tblCellMar>
        <w:tblLook w:val="0000" w:firstRow="0" w:lastRow="0" w:firstColumn="0" w:lastColumn="0" w:noHBand="0" w:noVBand="0"/>
      </w:tblPr>
      <w:tblGrid>
        <w:gridCol w:w="1980"/>
        <w:gridCol w:w="1260"/>
        <w:gridCol w:w="1980"/>
        <w:gridCol w:w="1645"/>
      </w:tblGrid>
      <w:tr w:rsidR="0073065F" w:rsidRPr="00FA1758" w:rsidTr="00401018">
        <w:trPr>
          <w:trHeight w:val="470"/>
        </w:trPr>
        <w:tc>
          <w:tcPr>
            <w:tcW w:w="1980" w:type="dxa"/>
            <w:tcBorders>
              <w:top w:val="single" w:sz="4" w:space="0" w:color="000000"/>
              <w:left w:val="single" w:sz="4" w:space="0" w:color="000000"/>
              <w:bottom w:val="single" w:sz="4" w:space="0" w:color="000000"/>
            </w:tcBorders>
          </w:tcPr>
          <w:p w:rsidR="0073065F" w:rsidRPr="00FA1758" w:rsidRDefault="0073065F" w:rsidP="00401018">
            <w:pPr>
              <w:suppressAutoHyphens/>
              <w:rPr>
                <w:rFonts w:ascii="Times New Roman" w:eastAsia="Times New Roman" w:hAnsi="Times New Roman"/>
                <w:lang w:eastAsia="pl-PL" w:bidi="pl-PL"/>
              </w:rPr>
            </w:pPr>
          </w:p>
        </w:tc>
        <w:tc>
          <w:tcPr>
            <w:tcW w:w="1260" w:type="dxa"/>
            <w:tcBorders>
              <w:top w:val="single" w:sz="4" w:space="0" w:color="000000"/>
              <w:left w:val="single" w:sz="4" w:space="0" w:color="000000"/>
              <w:bottom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USD $</w:t>
            </w:r>
          </w:p>
        </w:tc>
        <w:tc>
          <w:tcPr>
            <w:tcW w:w="1980" w:type="dxa"/>
            <w:tcBorders>
              <w:top w:val="single" w:sz="4" w:space="0" w:color="000000"/>
              <w:left w:val="single" w:sz="4" w:space="0" w:color="000000"/>
              <w:bottom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 xml:space="preserve">Kurs wymiany </w:t>
            </w:r>
          </w:p>
        </w:tc>
        <w:tc>
          <w:tcPr>
            <w:tcW w:w="1645" w:type="dxa"/>
            <w:tcBorders>
              <w:top w:val="single" w:sz="4" w:space="0" w:color="000000"/>
              <w:left w:val="single" w:sz="4" w:space="0" w:color="000000"/>
              <w:bottom w:val="single" w:sz="4" w:space="0" w:color="000000"/>
              <w:righ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SEK</w:t>
            </w:r>
          </w:p>
        </w:tc>
      </w:tr>
      <w:tr w:rsidR="0073065F" w:rsidRPr="00FA1758" w:rsidTr="00401018">
        <w:trPr>
          <w:trHeight w:val="348"/>
        </w:trPr>
        <w:tc>
          <w:tcPr>
            <w:tcW w:w="1980" w:type="dxa"/>
            <w:tcBorders>
              <w:lef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Kwota zafakturowana</w:t>
            </w:r>
          </w:p>
        </w:tc>
        <w:tc>
          <w:tcPr>
            <w:tcW w:w="1260" w:type="dxa"/>
            <w:tcBorders>
              <w:lef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5 600,00</w:t>
            </w:r>
          </w:p>
        </w:tc>
        <w:tc>
          <w:tcPr>
            <w:tcW w:w="1980" w:type="dxa"/>
            <w:tcBorders>
              <w:lef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8,59950</w:t>
            </w:r>
          </w:p>
        </w:tc>
        <w:tc>
          <w:tcPr>
            <w:tcW w:w="1645" w:type="dxa"/>
            <w:tcBorders>
              <w:left w:val="single" w:sz="4" w:space="0" w:color="000000"/>
              <w:righ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bidi="pl-PL"/>
              </w:rPr>
              <w:t>48.157,20</w:t>
            </w:r>
          </w:p>
        </w:tc>
      </w:tr>
      <w:tr w:rsidR="0073065F" w:rsidRPr="00FA1758" w:rsidTr="00401018">
        <w:trPr>
          <w:trHeight w:val="358"/>
        </w:trPr>
        <w:tc>
          <w:tcPr>
            <w:tcW w:w="1980" w:type="dxa"/>
            <w:tcBorders>
              <w:left w:val="single" w:sz="4" w:space="0" w:color="000000"/>
              <w:bottom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Fracht</w:t>
            </w:r>
          </w:p>
        </w:tc>
        <w:tc>
          <w:tcPr>
            <w:tcW w:w="1260" w:type="dxa"/>
            <w:tcBorders>
              <w:left w:val="single" w:sz="4" w:space="0" w:color="000000"/>
              <w:bottom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-1 200,00</w:t>
            </w:r>
          </w:p>
        </w:tc>
        <w:tc>
          <w:tcPr>
            <w:tcW w:w="1980" w:type="dxa"/>
            <w:tcBorders>
              <w:left w:val="single" w:sz="4" w:space="0" w:color="000000"/>
              <w:bottom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eastAsia="pl-PL" w:bidi="pl-PL"/>
              </w:rPr>
              <w:t>8,59950</w:t>
            </w:r>
          </w:p>
        </w:tc>
        <w:tc>
          <w:tcPr>
            <w:tcW w:w="1645" w:type="dxa"/>
            <w:tcBorders>
              <w:left w:val="single" w:sz="4" w:space="0" w:color="000000"/>
              <w:bottom w:val="double" w:sz="2" w:space="0" w:color="000000"/>
              <w:righ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bidi="pl-PL"/>
              </w:rPr>
              <w:t>10.319,40</w:t>
            </w:r>
          </w:p>
        </w:tc>
      </w:tr>
      <w:tr w:rsidR="0073065F" w:rsidRPr="00FA1758" w:rsidTr="00401018">
        <w:trPr>
          <w:trHeight w:val="358"/>
        </w:trPr>
        <w:tc>
          <w:tcPr>
            <w:tcW w:w="1980" w:type="dxa"/>
          </w:tcPr>
          <w:p w:rsidR="0073065F" w:rsidRPr="00FA1758" w:rsidRDefault="0073065F" w:rsidP="00401018">
            <w:pPr>
              <w:suppressAutoHyphens/>
              <w:rPr>
                <w:rFonts w:ascii="Times New Roman" w:eastAsia="Times New Roman" w:hAnsi="Times New Roman"/>
                <w:lang w:eastAsia="pl-PL" w:bidi="pl-PL"/>
              </w:rPr>
            </w:pPr>
          </w:p>
        </w:tc>
        <w:tc>
          <w:tcPr>
            <w:tcW w:w="1260" w:type="dxa"/>
          </w:tcPr>
          <w:p w:rsidR="0073065F" w:rsidRPr="00FA1758" w:rsidRDefault="0073065F" w:rsidP="00401018">
            <w:pPr>
              <w:suppressAutoHyphens/>
              <w:rPr>
                <w:rFonts w:ascii="Times New Roman" w:eastAsia="Times New Roman" w:hAnsi="Times New Roman"/>
                <w:lang w:eastAsia="pl-PL" w:bidi="pl-PL"/>
              </w:rPr>
            </w:pPr>
          </w:p>
        </w:tc>
        <w:tc>
          <w:tcPr>
            <w:tcW w:w="1980" w:type="dxa"/>
          </w:tcPr>
          <w:p w:rsidR="0073065F" w:rsidRPr="00FA1758" w:rsidRDefault="0073065F" w:rsidP="00401018">
            <w:pPr>
              <w:suppressAutoHyphens/>
              <w:rPr>
                <w:rFonts w:ascii="Times New Roman" w:eastAsia="Times New Roman" w:hAnsi="Times New Roman"/>
                <w:lang w:eastAsia="pl-PL" w:bidi="pl-PL"/>
              </w:rPr>
            </w:pPr>
          </w:p>
        </w:tc>
        <w:tc>
          <w:tcPr>
            <w:tcW w:w="1645" w:type="dxa"/>
            <w:tcBorders>
              <w:left w:val="single" w:sz="4" w:space="0" w:color="000000"/>
              <w:bottom w:val="single" w:sz="4" w:space="0" w:color="000000"/>
              <w:right w:val="single" w:sz="4" w:space="0" w:color="000000"/>
            </w:tcBorders>
          </w:tcPr>
          <w:p w:rsidR="0073065F" w:rsidRPr="00FA1758" w:rsidRDefault="0073065F" w:rsidP="00401018">
            <w:pPr>
              <w:suppressAutoHyphens/>
              <w:rPr>
                <w:rFonts w:ascii="Times New Roman" w:eastAsia="Times New Roman" w:hAnsi="Times New Roman"/>
                <w:lang w:eastAsia="pl-PL" w:bidi="pl-PL"/>
              </w:rPr>
            </w:pPr>
            <w:r w:rsidRPr="00FA1758">
              <w:rPr>
                <w:rFonts w:ascii="Times New Roman" w:eastAsia="Times New Roman" w:hAnsi="Times New Roman"/>
                <w:lang w:bidi="pl-PL"/>
              </w:rPr>
              <w:t>37.837,80</w:t>
            </w:r>
          </w:p>
        </w:tc>
      </w:tr>
    </w:tbl>
    <w:p w:rsidR="0073065F" w:rsidRDefault="0073065F" w:rsidP="0073065F">
      <w:pPr>
        <w:suppressAutoHyphens/>
        <w:jc w:val="both"/>
        <w:rPr>
          <w:rFonts w:ascii="Times New Roman" w:eastAsia="Times New Roman" w:hAnsi="Times New Roman"/>
          <w:lang w:eastAsia="pl-PL" w:bidi="pl-PL"/>
        </w:rPr>
      </w:pPr>
    </w:p>
    <w:p w:rsidR="0073065F" w:rsidRPr="00FA1758" w:rsidRDefault="0073065F" w:rsidP="0073065F">
      <w:pPr>
        <w:suppressAutoHyphens/>
        <w:jc w:val="both"/>
        <w:rPr>
          <w:rFonts w:ascii="Times New Roman" w:eastAsia="Times New Roman" w:hAnsi="Times New Roman"/>
          <w:b/>
          <w:lang w:eastAsia="pl-PL" w:bidi="pl-PL"/>
        </w:rPr>
      </w:pPr>
      <w:r w:rsidRPr="00FA1758">
        <w:rPr>
          <w:rFonts w:ascii="Times New Roman" w:eastAsia="Times New Roman" w:hAnsi="Times New Roman"/>
          <w:lang w:eastAsia="pl-PL" w:bidi="pl-PL"/>
        </w:rPr>
        <w:t xml:space="preserve">Należy podać wartość statystyczną: </w:t>
      </w:r>
      <w:r w:rsidRPr="00FA1758">
        <w:rPr>
          <w:rFonts w:ascii="Times New Roman" w:eastAsia="Times New Roman" w:hAnsi="Times New Roman"/>
          <w:b/>
          <w:lang w:eastAsia="pl-PL" w:bidi="pl-PL"/>
        </w:rPr>
        <w:t>37 837,80</w:t>
      </w:r>
    </w:p>
    <w:p w:rsidR="0073065F" w:rsidRDefault="0073065F" w:rsidP="0073065F">
      <w:pPr>
        <w:spacing w:before="240"/>
        <w:jc w:val="both"/>
        <w:rPr>
          <w:rFonts w:ascii="Calibri" w:eastAsia="Times New Roman" w:hAnsi="Calibri"/>
          <w:color w:val="1F497D"/>
          <w:sz w:val="22"/>
          <w:szCs w:val="22"/>
        </w:rPr>
      </w:pPr>
    </w:p>
    <w:p w:rsidR="0073065F" w:rsidRPr="006F56D1" w:rsidRDefault="0073065F" w:rsidP="0073065F">
      <w:pPr>
        <w:widowControl w:val="0"/>
        <w:tabs>
          <w:tab w:val="left" w:pos="0"/>
          <w:tab w:val="left" w:pos="1134"/>
          <w:tab w:val="left" w:pos="1701"/>
          <w:tab w:val="left" w:pos="2268"/>
        </w:tabs>
        <w:jc w:val="both"/>
        <w:rPr>
          <w:rFonts w:ascii="Times New Roman" w:hAnsi="Times New Roman"/>
          <w:lang w:eastAsia="pl-PL"/>
        </w:rPr>
      </w:pPr>
      <w:r w:rsidRPr="006F56D1">
        <w:rPr>
          <w:rFonts w:ascii="Times New Roman" w:hAnsi="Times New Roman"/>
          <w:lang w:eastAsia="pl-PL"/>
        </w:rPr>
        <w:t>W przypadku gdy wartość statystyczna towaru jest inna niż wartość towaru wynikająca z faktury, to w Polu 44 zgłoszenia celnego należy wpisać kod 1STW i po nim podać łączną kwotę korekt, o jaką wartość towaru wynikająca z faktury została skorygowana (korekta będzie równa różnicy pomiędzy wartością fakturową towaru a wartością statystyczną). Kwotę korekt należy podawać zaokrągloną do pełnych dziesiątek groszy.</w:t>
      </w:r>
    </w:p>
    <w:p w:rsidR="0073065F" w:rsidRPr="006F56D1" w:rsidRDefault="0073065F" w:rsidP="0073065F">
      <w:pPr>
        <w:widowControl w:val="0"/>
        <w:tabs>
          <w:tab w:val="left" w:pos="0"/>
          <w:tab w:val="left" w:pos="1134"/>
          <w:tab w:val="left" w:pos="1701"/>
          <w:tab w:val="left" w:pos="2268"/>
        </w:tabs>
        <w:jc w:val="both"/>
        <w:rPr>
          <w:rFonts w:ascii="Times New Roman" w:hAnsi="Times New Roman"/>
          <w:szCs w:val="20"/>
          <w:lang w:eastAsia="pl-PL"/>
        </w:rPr>
      </w:pPr>
    </w:p>
    <w:p w:rsidR="0073065F" w:rsidRPr="006F56D1" w:rsidRDefault="0073065F" w:rsidP="0073065F">
      <w:pPr>
        <w:widowControl w:val="0"/>
        <w:tabs>
          <w:tab w:val="left" w:pos="0"/>
          <w:tab w:val="left" w:pos="1134"/>
          <w:tab w:val="left" w:pos="1701"/>
          <w:tab w:val="left" w:pos="2268"/>
        </w:tabs>
        <w:jc w:val="both"/>
        <w:rPr>
          <w:rFonts w:ascii="Times New Roman" w:hAnsi="Times New Roman"/>
          <w:i/>
          <w:iCs/>
          <w:lang w:eastAsia="pl-PL"/>
        </w:rPr>
      </w:pPr>
      <w:r w:rsidRPr="006F56D1">
        <w:rPr>
          <w:rFonts w:ascii="Times New Roman" w:hAnsi="Times New Roman"/>
          <w:i/>
          <w:iCs/>
          <w:lang w:eastAsia="pl-PL"/>
        </w:rPr>
        <w:t>Przykład:</w:t>
      </w:r>
    </w:p>
    <w:p w:rsidR="0073065F" w:rsidRPr="006F56D1" w:rsidRDefault="0073065F" w:rsidP="0073065F">
      <w:pPr>
        <w:widowControl w:val="0"/>
        <w:tabs>
          <w:tab w:val="left" w:pos="0"/>
          <w:tab w:val="left" w:pos="1134"/>
          <w:tab w:val="left" w:pos="1701"/>
          <w:tab w:val="left" w:pos="2268"/>
        </w:tabs>
        <w:jc w:val="both"/>
        <w:rPr>
          <w:rFonts w:ascii="Times New Roman" w:hAnsi="Times New Roman"/>
          <w:i/>
          <w:iCs/>
          <w:lang w:eastAsia="pl-PL"/>
        </w:rPr>
      </w:pPr>
    </w:p>
    <w:p w:rsidR="0073065F" w:rsidRPr="00CE4C8E" w:rsidRDefault="0073065F" w:rsidP="0073065F">
      <w:pPr>
        <w:widowControl w:val="0"/>
        <w:tabs>
          <w:tab w:val="left" w:pos="0"/>
          <w:tab w:val="left" w:pos="1134"/>
          <w:tab w:val="left" w:pos="1701"/>
          <w:tab w:val="left" w:pos="2268"/>
        </w:tabs>
        <w:jc w:val="both"/>
        <w:rPr>
          <w:rFonts w:ascii="Times New Roman" w:hAnsi="Times New Roman"/>
          <w:i/>
          <w:iCs/>
          <w:lang w:eastAsia="pl-PL"/>
        </w:rPr>
      </w:pPr>
      <w:r w:rsidRPr="00CE4C8E">
        <w:rPr>
          <w:rFonts w:ascii="Times New Roman" w:hAnsi="Times New Roman"/>
          <w:i/>
          <w:iCs/>
          <w:lang w:eastAsia="pl-PL"/>
        </w:rPr>
        <w:t xml:space="preserve">1STW = - 180,20      lub </w:t>
      </w:r>
    </w:p>
    <w:p w:rsidR="0073065F" w:rsidRPr="00CE4C8E" w:rsidRDefault="0073065F" w:rsidP="0073065F">
      <w:pPr>
        <w:jc w:val="both"/>
        <w:rPr>
          <w:rFonts w:ascii="Times New Roman" w:eastAsia="Times New Roman" w:hAnsi="Times New Roman"/>
          <w:color w:val="1F497D"/>
          <w:sz w:val="22"/>
          <w:szCs w:val="22"/>
        </w:rPr>
      </w:pPr>
      <w:r w:rsidRPr="00CE4C8E">
        <w:rPr>
          <w:rFonts w:ascii="Times New Roman" w:hAnsi="Times New Roman"/>
          <w:i/>
          <w:iCs/>
          <w:lang w:eastAsia="pl-PL"/>
        </w:rPr>
        <w:t>1STW= + 240,60</w:t>
      </w:r>
    </w:p>
    <w:p w:rsidR="0073065F" w:rsidRPr="00FA1758" w:rsidRDefault="0073065F" w:rsidP="0073065F">
      <w:pPr>
        <w:spacing w:before="240"/>
        <w:jc w:val="both"/>
        <w:rPr>
          <w:rFonts w:ascii="Times New Roman" w:hAnsi="Times New Roman"/>
        </w:rPr>
      </w:pPr>
      <w:r w:rsidRPr="006F56D1">
        <w:rPr>
          <w:rFonts w:ascii="Times New Roman" w:hAnsi="Times New Roman"/>
          <w:bCs/>
          <w:color w:val="000000"/>
        </w:rPr>
        <w:t>“</w:t>
      </w:r>
      <w:r w:rsidRPr="006F56D1">
        <w:rPr>
          <w:rFonts w:ascii="Times New Roman" w:hAnsi="Times New Roman"/>
          <w:b/>
          <w:bCs/>
          <w:color w:val="000000"/>
        </w:rPr>
        <w:t>1STW</w:t>
      </w:r>
      <w:r w:rsidRPr="006F56D1">
        <w:rPr>
          <w:rFonts w:ascii="Times New Roman" w:hAnsi="Times New Roman"/>
        </w:rPr>
        <w:t xml:space="preserve">" </w:t>
      </w:r>
      <w:r>
        <w:rPr>
          <w:rFonts w:ascii="Times New Roman" w:hAnsi="Times New Roman"/>
        </w:rPr>
        <w:t xml:space="preserve">- </w:t>
      </w:r>
      <w:r w:rsidRPr="006F56D1">
        <w:rPr>
          <w:rFonts w:ascii="Times New Roman" w:hAnsi="Times New Roman"/>
          <w:bCs/>
          <w:color w:val="000000"/>
        </w:rPr>
        <w:t>Łączna kwota korekt o jaką została skorygowana wartoś</w:t>
      </w:r>
      <w:r>
        <w:rPr>
          <w:rFonts w:ascii="Times New Roman" w:hAnsi="Times New Roman"/>
          <w:bCs/>
          <w:color w:val="000000"/>
        </w:rPr>
        <w:t>ć</w:t>
      </w:r>
      <w:r w:rsidRPr="006F56D1">
        <w:rPr>
          <w:rFonts w:ascii="Times New Roman" w:hAnsi="Times New Roman"/>
          <w:bCs/>
          <w:color w:val="000000"/>
        </w:rPr>
        <w:t xml:space="preserve"> statystyczn</w:t>
      </w:r>
      <w:r>
        <w:rPr>
          <w:rFonts w:ascii="Times New Roman" w:hAnsi="Times New Roman"/>
          <w:bCs/>
          <w:color w:val="000000"/>
        </w:rPr>
        <w:t>a</w:t>
      </w:r>
      <w:r w:rsidRPr="006F56D1">
        <w:rPr>
          <w:rFonts w:ascii="Times New Roman" w:hAnsi="Times New Roman"/>
          <w:bCs/>
          <w:color w:val="000000"/>
        </w:rPr>
        <w:t xml:space="preserve"> w odniesieniu do wartości </w:t>
      </w:r>
      <w:r>
        <w:rPr>
          <w:rFonts w:ascii="Times New Roman" w:hAnsi="Times New Roman"/>
          <w:bCs/>
          <w:color w:val="000000"/>
        </w:rPr>
        <w:t xml:space="preserve">fakturowej </w:t>
      </w:r>
      <w:r w:rsidRPr="006F56D1">
        <w:rPr>
          <w:rFonts w:ascii="Times New Roman" w:hAnsi="Times New Roman"/>
          <w:bCs/>
          <w:color w:val="000000"/>
        </w:rPr>
        <w:t>towaru</w:t>
      </w:r>
      <w:r>
        <w:rPr>
          <w:rFonts w:ascii="Times New Roman" w:hAnsi="Times New Roman"/>
          <w:bCs/>
          <w:color w:val="000000"/>
        </w:rPr>
        <w:t xml:space="preserve"> w przypadku wywozu oraz w odniesieniu do wartości celnej towaru w przypadku przywozu</w:t>
      </w:r>
      <w:r w:rsidRPr="006F56D1">
        <w:rPr>
          <w:rFonts w:ascii="Times New Roman" w:hAnsi="Times New Roman"/>
        </w:rPr>
        <w:t>"</w:t>
      </w:r>
      <w:r>
        <w:rPr>
          <w:rFonts w:ascii="Times New Roman" w:hAnsi="Times New Roman"/>
        </w:rPr>
        <w:t>;</w:t>
      </w:r>
    </w:p>
    <w:p w:rsidR="0073065F" w:rsidRDefault="0073065F" w:rsidP="0073065F">
      <w:pPr>
        <w:spacing w:before="240"/>
        <w:jc w:val="both"/>
        <w:rPr>
          <w:rFonts w:ascii="Times New Roman" w:hAnsi="Times New Roman"/>
        </w:rPr>
      </w:pPr>
    </w:p>
    <w:p w:rsidR="0073065F" w:rsidRDefault="0073065F" w:rsidP="0073065F">
      <w:pPr>
        <w:spacing w:before="240"/>
        <w:jc w:val="both"/>
        <w:rPr>
          <w:rFonts w:ascii="Times New Roman" w:hAnsi="Times New Roman"/>
          <w:b/>
        </w:rPr>
      </w:pPr>
    </w:p>
    <w:p w:rsidR="0073065F" w:rsidRDefault="0073065F" w:rsidP="0073065F">
      <w:pPr>
        <w:spacing w:before="240"/>
        <w:jc w:val="both"/>
        <w:rPr>
          <w:rFonts w:ascii="Times New Roman" w:hAnsi="Times New Roman"/>
          <w:b/>
        </w:rPr>
      </w:pPr>
      <w:r>
        <w:rPr>
          <w:rFonts w:ascii="Times New Roman" w:hAnsi="Times New Roman"/>
          <w:b/>
        </w:rPr>
        <w:t>2. W</w:t>
      </w:r>
      <w:r w:rsidRPr="002640B1">
        <w:rPr>
          <w:rFonts w:ascii="Times New Roman" w:hAnsi="Times New Roman"/>
          <w:b/>
        </w:rPr>
        <w:t xml:space="preserve"> części IV</w:t>
      </w:r>
      <w:r>
        <w:rPr>
          <w:rFonts w:ascii="Times New Roman" w:hAnsi="Times New Roman"/>
          <w:b/>
        </w:rPr>
        <w:t>:</w:t>
      </w:r>
    </w:p>
    <w:p w:rsidR="0073065F" w:rsidRDefault="0073065F" w:rsidP="0073065F">
      <w:pPr>
        <w:spacing w:before="240"/>
        <w:jc w:val="both"/>
        <w:rPr>
          <w:rFonts w:ascii="Times New Roman" w:hAnsi="Times New Roman"/>
          <w:b/>
        </w:rPr>
      </w:pPr>
      <w:r>
        <w:rPr>
          <w:rFonts w:ascii="Times New Roman" w:hAnsi="Times New Roman"/>
          <w:b/>
        </w:rPr>
        <w:t xml:space="preserve">1) w opisie pola 33 </w:t>
      </w:r>
      <w:r w:rsidRPr="000144C8">
        <w:rPr>
          <w:rFonts w:ascii="Times New Roman" w:hAnsi="Times New Roman"/>
        </w:rPr>
        <w:t>(str. 123-125)</w:t>
      </w:r>
      <w:r>
        <w:rPr>
          <w:rFonts w:ascii="Times New Roman" w:hAnsi="Times New Roman"/>
          <w:b/>
        </w:rPr>
        <w:t xml:space="preserve"> </w:t>
      </w:r>
      <w:r w:rsidRPr="000144C8">
        <w:rPr>
          <w:rFonts w:ascii="Times New Roman" w:hAnsi="Times New Roman"/>
        </w:rPr>
        <w:t xml:space="preserve">zmienia się </w:t>
      </w:r>
      <w:r>
        <w:rPr>
          <w:rFonts w:ascii="Times New Roman" w:hAnsi="Times New Roman"/>
        </w:rPr>
        <w:t>link do</w:t>
      </w:r>
      <w:r w:rsidRPr="000144C8">
        <w:rPr>
          <w:rFonts w:ascii="Times New Roman" w:hAnsi="Times New Roman"/>
        </w:rPr>
        <w:t xml:space="preserve"> strony internetowej w</w:t>
      </w:r>
      <w:r>
        <w:rPr>
          <w:rFonts w:ascii="Times New Roman" w:hAnsi="Times New Roman"/>
          <w:b/>
        </w:rPr>
        <w:t xml:space="preserve"> </w:t>
      </w:r>
      <w:r w:rsidRPr="000144C8">
        <w:rPr>
          <w:rFonts w:ascii="Times New Roman" w:hAnsi="Times New Roman"/>
        </w:rPr>
        <w:t>końcow</w:t>
      </w:r>
      <w:r>
        <w:rPr>
          <w:rFonts w:ascii="Times New Roman" w:hAnsi="Times New Roman"/>
        </w:rPr>
        <w:t>ej</w:t>
      </w:r>
      <w:r w:rsidRPr="000144C8">
        <w:rPr>
          <w:rFonts w:ascii="Times New Roman" w:hAnsi="Times New Roman"/>
        </w:rPr>
        <w:t xml:space="preserve"> uwa</w:t>
      </w:r>
      <w:r>
        <w:rPr>
          <w:rFonts w:ascii="Times New Roman" w:hAnsi="Times New Roman"/>
        </w:rPr>
        <w:t>dze</w:t>
      </w:r>
      <w:r w:rsidRPr="000144C8">
        <w:rPr>
          <w:rFonts w:ascii="Times New Roman" w:hAnsi="Times New Roman"/>
        </w:rPr>
        <w:t xml:space="preserve"> </w:t>
      </w:r>
      <w:r>
        <w:rPr>
          <w:rFonts w:ascii="Times New Roman" w:hAnsi="Times New Roman"/>
        </w:rPr>
        <w:t>i w związku  z tym uwaga ta o</w:t>
      </w:r>
      <w:r w:rsidRPr="000144C8">
        <w:rPr>
          <w:rFonts w:ascii="Times New Roman" w:hAnsi="Times New Roman"/>
        </w:rPr>
        <w:t>trzymuje następujące brzmienie</w:t>
      </w:r>
      <w:r>
        <w:rPr>
          <w:rFonts w:ascii="Times New Roman" w:hAnsi="Times New Roman"/>
          <w:b/>
        </w:rPr>
        <w:t>:</w:t>
      </w:r>
    </w:p>
    <w:p w:rsidR="0073065F" w:rsidRDefault="0073065F" w:rsidP="0073065F">
      <w:pPr>
        <w:spacing w:before="240"/>
        <w:jc w:val="both"/>
        <w:rPr>
          <w:rFonts w:ascii="Times New Roman" w:hAnsi="Times New Roman"/>
          <w:b/>
        </w:rPr>
      </w:pPr>
    </w:p>
    <w:p w:rsidR="0073065F" w:rsidRPr="000144C8" w:rsidRDefault="0073065F" w:rsidP="0073065F">
      <w:pPr>
        <w:widowControl w:val="0"/>
        <w:tabs>
          <w:tab w:val="left" w:pos="-142"/>
          <w:tab w:val="left" w:pos="1134"/>
          <w:tab w:val="left" w:pos="1701"/>
          <w:tab w:val="left" w:pos="2268"/>
          <w:tab w:val="left" w:pos="9000"/>
          <w:tab w:val="right" w:pos="9360"/>
        </w:tabs>
        <w:jc w:val="both"/>
        <w:rPr>
          <w:rFonts w:ascii="Times New Roman" w:hAnsi="Times New Roman"/>
        </w:rPr>
      </w:pPr>
      <w:r>
        <w:rPr>
          <w:rFonts w:ascii="Times New Roman" w:hAnsi="Times New Roman"/>
          <w:b/>
          <w:bCs/>
        </w:rPr>
        <w:t>„</w:t>
      </w:r>
      <w:r w:rsidRPr="000144C8">
        <w:rPr>
          <w:rFonts w:ascii="Times New Roman" w:hAnsi="Times New Roman"/>
          <w:b/>
          <w:bCs/>
        </w:rPr>
        <w:t xml:space="preserve">Uwaga! </w:t>
      </w:r>
      <w:r w:rsidRPr="000144C8">
        <w:rPr>
          <w:rFonts w:ascii="Times New Roman" w:hAnsi="Times New Roman"/>
        </w:rPr>
        <w:t>Aktualizowany na bieżąco wykaz kodów krajowych dodatkowych wpisywanych w piątej części Pola 33 udostępniony jest na stronie internetowej:</w:t>
      </w:r>
      <w:r>
        <w:rPr>
          <w:rFonts w:ascii="Times New Roman" w:hAnsi="Times New Roman"/>
        </w:rPr>
        <w:t xml:space="preserve"> </w:t>
      </w:r>
    </w:p>
    <w:p w:rsidR="0073065F" w:rsidRDefault="00826D07" w:rsidP="0073065F">
      <w:pPr>
        <w:jc w:val="both"/>
        <w:rPr>
          <w:rFonts w:ascii="Times New Roman" w:hAnsi="Times New Roman"/>
          <w:u w:val="single"/>
        </w:rPr>
      </w:pPr>
      <w:hyperlink r:id="rId23" w:history="1">
        <w:r w:rsidR="0073065F" w:rsidRPr="000144C8">
          <w:rPr>
            <w:rStyle w:val="Hipercze"/>
            <w:rFonts w:ascii="Times New Roman" w:hAnsi="Times New Roman"/>
          </w:rPr>
          <w:t>https://puesc.gov.pl/seap_pdr_extimpl/slowniki/109</w:t>
        </w:r>
      </w:hyperlink>
      <w:r w:rsidR="0073065F">
        <w:rPr>
          <w:rFonts w:ascii="Times New Roman" w:hAnsi="Times New Roman"/>
          <w:u w:val="single"/>
        </w:rPr>
        <w:t xml:space="preserve"> ”;</w:t>
      </w:r>
    </w:p>
    <w:p w:rsidR="0073065F" w:rsidRDefault="0073065F" w:rsidP="0073065F">
      <w:pPr>
        <w:spacing w:before="240"/>
        <w:jc w:val="both"/>
        <w:rPr>
          <w:rFonts w:ascii="Times New Roman" w:hAnsi="Times New Roman"/>
          <w:b/>
        </w:rPr>
      </w:pPr>
    </w:p>
    <w:p w:rsidR="0073065F" w:rsidRPr="0008244B" w:rsidRDefault="0073065F" w:rsidP="0073065F">
      <w:pPr>
        <w:spacing w:before="240"/>
        <w:jc w:val="both"/>
        <w:rPr>
          <w:rFonts w:ascii="Times New Roman" w:hAnsi="Times New Roman"/>
          <w:bCs/>
        </w:rPr>
      </w:pPr>
      <w:r>
        <w:rPr>
          <w:rFonts w:ascii="Times New Roman" w:hAnsi="Times New Roman"/>
          <w:b/>
        </w:rPr>
        <w:t xml:space="preserve">2) w opisie pola 36 </w:t>
      </w:r>
      <w:r w:rsidRPr="000144C8">
        <w:rPr>
          <w:rFonts w:ascii="Times New Roman" w:hAnsi="Times New Roman"/>
        </w:rPr>
        <w:t>(str. 12</w:t>
      </w:r>
      <w:r>
        <w:rPr>
          <w:rFonts w:ascii="Times New Roman" w:hAnsi="Times New Roman"/>
        </w:rPr>
        <w:t>6</w:t>
      </w:r>
      <w:r w:rsidRPr="000144C8">
        <w:rPr>
          <w:rFonts w:ascii="Times New Roman" w:hAnsi="Times New Roman"/>
        </w:rPr>
        <w:t>-1</w:t>
      </w:r>
      <w:r>
        <w:rPr>
          <w:rFonts w:ascii="Times New Roman" w:hAnsi="Times New Roman"/>
        </w:rPr>
        <w:t>33</w:t>
      </w:r>
      <w:r w:rsidRPr="000144C8">
        <w:rPr>
          <w:rFonts w:ascii="Times New Roman" w:hAnsi="Times New Roman"/>
        </w:rPr>
        <w:t>)</w:t>
      </w:r>
      <w:r>
        <w:rPr>
          <w:rFonts w:ascii="Times New Roman" w:hAnsi="Times New Roman"/>
          <w:b/>
        </w:rPr>
        <w:t xml:space="preserve"> „</w:t>
      </w:r>
      <w:r w:rsidRPr="0008244B">
        <w:rPr>
          <w:rFonts w:ascii="Times New Roman" w:hAnsi="Times New Roman"/>
          <w:bCs/>
        </w:rPr>
        <w:t>Tabela kodów preferencji służących do wypełnienia Pola 36</w:t>
      </w:r>
      <w:r>
        <w:rPr>
          <w:rFonts w:ascii="Times New Roman" w:hAnsi="Times New Roman"/>
          <w:bCs/>
        </w:rPr>
        <w:t>” otrzymuje następujące brzmienie:</w:t>
      </w:r>
    </w:p>
    <w:p w:rsidR="0073065F" w:rsidRPr="0008244B" w:rsidRDefault="0073065F" w:rsidP="0073065F">
      <w:pPr>
        <w:spacing w:before="240"/>
        <w:jc w:val="both"/>
        <w:rPr>
          <w:rFonts w:ascii="Times New Roman" w:hAnsi="Times New Roman"/>
          <w:b/>
          <w:sz w:val="22"/>
          <w:szCs w:val="22"/>
        </w:rPr>
      </w:pPr>
    </w:p>
    <w:p w:rsidR="0073065F" w:rsidRPr="0008244B" w:rsidRDefault="0073065F" w:rsidP="0073065F">
      <w:pPr>
        <w:jc w:val="center"/>
        <w:rPr>
          <w:rFonts w:ascii="Times New Roman" w:hAnsi="Times New Roman"/>
          <w:b/>
          <w:bCs/>
          <w:sz w:val="22"/>
          <w:szCs w:val="22"/>
        </w:rPr>
      </w:pPr>
      <w:r w:rsidRPr="0008244B">
        <w:rPr>
          <w:rFonts w:ascii="Times New Roman" w:hAnsi="Times New Roman"/>
          <w:b/>
          <w:bCs/>
          <w:sz w:val="22"/>
          <w:szCs w:val="22"/>
        </w:rPr>
        <w:t>Tabela kodów preferencji służących do wypełnienia Pola 36</w:t>
      </w:r>
    </w:p>
    <w:p w:rsidR="0073065F" w:rsidRPr="0008244B" w:rsidRDefault="0073065F" w:rsidP="0073065F">
      <w:pPr>
        <w:rPr>
          <w:rFonts w:ascii="Times New Roman" w:hAnsi="Times New Roman"/>
          <w:sz w:val="20"/>
          <w:szCs w:val="20"/>
        </w:rPr>
      </w:pPr>
    </w:p>
    <w:tbl>
      <w:tblPr>
        <w:tblW w:w="9180"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64"/>
        <w:gridCol w:w="4602"/>
        <w:gridCol w:w="1374"/>
        <w:gridCol w:w="1080"/>
        <w:gridCol w:w="1260"/>
      </w:tblGrid>
      <w:tr w:rsidR="0073065F" w:rsidRPr="0008244B" w:rsidTr="00401018">
        <w:trPr>
          <w:tblHeader/>
        </w:trPr>
        <w:tc>
          <w:tcPr>
            <w:tcW w:w="864" w:type="dxa"/>
            <w:tcBorders>
              <w:bottom w:val="dotted" w:sz="6" w:space="0" w:color="auto"/>
            </w:tcBorders>
          </w:tcPr>
          <w:p w:rsidR="0073065F" w:rsidRPr="0008244B" w:rsidRDefault="0073065F" w:rsidP="00401018">
            <w:pPr>
              <w:spacing w:before="60" w:after="60"/>
              <w:jc w:val="center"/>
              <w:rPr>
                <w:rFonts w:ascii="Times New Roman" w:hAnsi="Times New Roman"/>
                <w:b/>
                <w:sz w:val="20"/>
                <w:szCs w:val="20"/>
              </w:rPr>
            </w:pPr>
            <w:r w:rsidRPr="0008244B">
              <w:rPr>
                <w:rFonts w:ascii="Times New Roman" w:hAnsi="Times New Roman"/>
                <w:b/>
                <w:sz w:val="20"/>
                <w:szCs w:val="20"/>
              </w:rPr>
              <w:t xml:space="preserve">Pole 36 </w:t>
            </w:r>
          </w:p>
        </w:tc>
        <w:tc>
          <w:tcPr>
            <w:tcW w:w="4602" w:type="dxa"/>
            <w:tcBorders>
              <w:bottom w:val="dotted" w:sz="6" w:space="0" w:color="auto"/>
            </w:tcBorders>
          </w:tcPr>
          <w:p w:rsidR="0073065F" w:rsidRPr="0008244B" w:rsidRDefault="0073065F" w:rsidP="00401018">
            <w:pPr>
              <w:spacing w:before="60" w:after="60"/>
              <w:jc w:val="center"/>
              <w:rPr>
                <w:rFonts w:ascii="Times New Roman" w:hAnsi="Times New Roman"/>
                <w:b/>
                <w:spacing w:val="-2"/>
                <w:sz w:val="20"/>
                <w:szCs w:val="20"/>
              </w:rPr>
            </w:pPr>
            <w:r w:rsidRPr="0008244B">
              <w:rPr>
                <w:rFonts w:ascii="Times New Roman" w:hAnsi="Times New Roman"/>
                <w:b/>
                <w:spacing w:val="-2"/>
                <w:sz w:val="20"/>
                <w:szCs w:val="20"/>
              </w:rPr>
              <w:t>Reżimy taryfowe, które mają być stosowane</w:t>
            </w:r>
            <w:r w:rsidRPr="0008244B">
              <w:rPr>
                <w:rFonts w:ascii="Times New Roman" w:hAnsi="Times New Roman"/>
                <w:b/>
                <w:spacing w:val="-2"/>
                <w:sz w:val="20"/>
                <w:szCs w:val="20"/>
              </w:rPr>
              <w:br/>
              <w:t>[art. 56 ust. 2 lit. c-h Unijnego Kodeksu Celnego]</w:t>
            </w:r>
          </w:p>
        </w:tc>
        <w:tc>
          <w:tcPr>
            <w:tcW w:w="1374" w:type="dxa"/>
            <w:tcBorders>
              <w:bottom w:val="dotted" w:sz="6" w:space="0" w:color="auto"/>
            </w:tcBorders>
          </w:tcPr>
          <w:p w:rsidR="0073065F" w:rsidRPr="0008244B" w:rsidRDefault="0073065F" w:rsidP="00401018">
            <w:pPr>
              <w:spacing w:before="60" w:after="60"/>
              <w:jc w:val="center"/>
              <w:rPr>
                <w:rFonts w:ascii="Times New Roman" w:hAnsi="Times New Roman"/>
                <w:b/>
                <w:sz w:val="20"/>
                <w:szCs w:val="20"/>
              </w:rPr>
            </w:pPr>
            <w:r w:rsidRPr="0008244B">
              <w:rPr>
                <w:rFonts w:ascii="Times New Roman" w:hAnsi="Times New Roman"/>
                <w:b/>
                <w:sz w:val="20"/>
                <w:szCs w:val="20"/>
              </w:rPr>
              <w:t>Typ Środka TARIC</w:t>
            </w:r>
          </w:p>
        </w:tc>
        <w:tc>
          <w:tcPr>
            <w:tcW w:w="1080" w:type="dxa"/>
            <w:tcBorders>
              <w:bottom w:val="dotted" w:sz="6" w:space="0" w:color="auto"/>
            </w:tcBorders>
          </w:tcPr>
          <w:p w:rsidR="0073065F" w:rsidRPr="0008244B" w:rsidRDefault="0073065F" w:rsidP="00401018">
            <w:pPr>
              <w:spacing w:before="60" w:after="60"/>
              <w:jc w:val="center"/>
              <w:rPr>
                <w:rFonts w:ascii="Times New Roman" w:hAnsi="Times New Roman"/>
                <w:b/>
                <w:spacing w:val="-2"/>
                <w:sz w:val="20"/>
                <w:szCs w:val="20"/>
              </w:rPr>
            </w:pPr>
            <w:r w:rsidRPr="0008244B">
              <w:rPr>
                <w:rFonts w:ascii="Times New Roman" w:hAnsi="Times New Roman"/>
                <w:b/>
                <w:spacing w:val="-4"/>
                <w:sz w:val="20"/>
                <w:szCs w:val="20"/>
              </w:rPr>
              <w:t>Grupa przepisów</w:t>
            </w:r>
            <w:r w:rsidRPr="0008244B">
              <w:rPr>
                <w:rFonts w:ascii="Times New Roman" w:hAnsi="Times New Roman"/>
                <w:b/>
                <w:spacing w:val="-2"/>
                <w:sz w:val="20"/>
                <w:szCs w:val="20"/>
              </w:rPr>
              <w:t xml:space="preserve"> TARIC</w:t>
            </w:r>
          </w:p>
        </w:tc>
        <w:tc>
          <w:tcPr>
            <w:tcW w:w="1260" w:type="dxa"/>
            <w:tcBorders>
              <w:bottom w:val="dotted" w:sz="6" w:space="0" w:color="auto"/>
            </w:tcBorders>
          </w:tcPr>
          <w:p w:rsidR="0073065F" w:rsidRPr="0008244B" w:rsidRDefault="0073065F" w:rsidP="00401018">
            <w:pPr>
              <w:spacing w:before="60" w:after="60"/>
              <w:jc w:val="center"/>
              <w:rPr>
                <w:rFonts w:ascii="Times New Roman" w:hAnsi="Times New Roman"/>
                <w:b/>
                <w:sz w:val="20"/>
                <w:szCs w:val="20"/>
              </w:rPr>
            </w:pPr>
            <w:r w:rsidRPr="0008244B">
              <w:rPr>
                <w:rFonts w:ascii="Times New Roman" w:hAnsi="Times New Roman"/>
                <w:b/>
                <w:spacing w:val="-4"/>
                <w:sz w:val="20"/>
                <w:szCs w:val="20"/>
              </w:rPr>
              <w:t>Warunki, Przypisy</w:t>
            </w:r>
            <w:r w:rsidRPr="0008244B">
              <w:rPr>
                <w:rFonts w:ascii="Times New Roman" w:hAnsi="Times New Roman"/>
                <w:b/>
                <w:sz w:val="20"/>
                <w:szCs w:val="20"/>
              </w:rPr>
              <w:t xml:space="preserve"> TARIC</w:t>
            </w:r>
          </w:p>
        </w:tc>
      </w:tr>
      <w:tr w:rsidR="0073065F" w:rsidRPr="0008244B" w:rsidTr="00401018">
        <w:tc>
          <w:tcPr>
            <w:tcW w:w="864" w:type="dxa"/>
            <w:tcBorders>
              <w:bottom w:val="dotted" w:sz="6" w:space="0" w:color="auto"/>
            </w:tcBorders>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4602" w:type="dxa"/>
            <w:tcBorders>
              <w:bottom w:val="dotted" w:sz="6" w:space="0" w:color="auto"/>
            </w:tcBorders>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1374" w:type="dxa"/>
            <w:tcBorders>
              <w:bottom w:val="dotted" w:sz="6" w:space="0" w:color="auto"/>
            </w:tcBorders>
            <w:shd w:val="pct10" w:color="auto" w:fill="FFFFFF"/>
          </w:tcPr>
          <w:p w:rsidR="0073065F" w:rsidRPr="0008244B" w:rsidRDefault="0073065F" w:rsidP="00401018">
            <w:pPr>
              <w:spacing w:before="30" w:after="30" w:line="120" w:lineRule="atLeast"/>
              <w:jc w:val="center"/>
              <w:rPr>
                <w:rFonts w:ascii="Times New Roman" w:hAnsi="Times New Roman"/>
                <w:sz w:val="20"/>
                <w:szCs w:val="20"/>
              </w:rPr>
            </w:pPr>
          </w:p>
        </w:tc>
        <w:tc>
          <w:tcPr>
            <w:tcW w:w="1080" w:type="dxa"/>
            <w:tcBorders>
              <w:bottom w:val="dotted" w:sz="6" w:space="0" w:color="auto"/>
            </w:tcBorders>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c>
          <w:tcPr>
            <w:tcW w:w="1260" w:type="dxa"/>
            <w:tcBorders>
              <w:bottom w:val="dotted" w:sz="6" w:space="0" w:color="auto"/>
            </w:tcBorders>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r>
      <w:tr w:rsidR="0073065F" w:rsidRPr="0008244B" w:rsidTr="00401018">
        <w:tc>
          <w:tcPr>
            <w:tcW w:w="864" w:type="dxa"/>
            <w:shd w:val="pct5" w:color="auto" w:fill="FFFFFF"/>
          </w:tcPr>
          <w:p w:rsidR="0073065F" w:rsidRPr="0008244B" w:rsidRDefault="0073065F" w:rsidP="00401018">
            <w:pPr>
              <w:spacing w:before="60" w:after="60"/>
              <w:rPr>
                <w:rFonts w:ascii="Times New Roman" w:hAnsi="Times New Roman"/>
                <w:b/>
                <w:sz w:val="20"/>
                <w:szCs w:val="20"/>
              </w:rPr>
            </w:pPr>
            <w:r w:rsidRPr="0008244B">
              <w:rPr>
                <w:rFonts w:ascii="Times New Roman" w:hAnsi="Times New Roman"/>
                <w:b/>
                <w:sz w:val="20"/>
                <w:szCs w:val="20"/>
              </w:rPr>
              <w:lastRenderedPageBreak/>
              <w:t>1</w:t>
            </w:r>
          </w:p>
        </w:tc>
        <w:tc>
          <w:tcPr>
            <w:tcW w:w="4602" w:type="dxa"/>
            <w:shd w:val="pct5" w:color="auto" w:fill="FFFFFF"/>
          </w:tcPr>
          <w:p w:rsidR="0073065F" w:rsidRPr="0008244B" w:rsidRDefault="0073065F" w:rsidP="00401018">
            <w:pPr>
              <w:spacing w:before="60" w:after="60"/>
              <w:rPr>
                <w:rFonts w:ascii="Times New Roman" w:hAnsi="Times New Roman"/>
                <w:b/>
                <w:sz w:val="20"/>
                <w:szCs w:val="20"/>
              </w:rPr>
            </w:pPr>
            <w:r w:rsidRPr="0008244B">
              <w:rPr>
                <w:rFonts w:ascii="Times New Roman" w:hAnsi="Times New Roman"/>
                <w:b/>
                <w:sz w:val="20"/>
                <w:szCs w:val="20"/>
              </w:rPr>
              <w:t xml:space="preserve">Umowy taryfowe </w:t>
            </w:r>
            <w:r w:rsidRPr="0008244B">
              <w:rPr>
                <w:rFonts w:ascii="Times New Roman" w:hAnsi="Times New Roman"/>
                <w:b/>
                <w:i/>
                <w:sz w:val="20"/>
                <w:szCs w:val="20"/>
              </w:rPr>
              <w:t>erga omnes</w:t>
            </w:r>
          </w:p>
        </w:tc>
        <w:tc>
          <w:tcPr>
            <w:tcW w:w="1374" w:type="dxa"/>
            <w:shd w:val="pct5" w:color="auto" w:fill="FFFFFF"/>
          </w:tcPr>
          <w:p w:rsidR="0073065F" w:rsidRPr="0008244B" w:rsidRDefault="0073065F" w:rsidP="00401018">
            <w:pPr>
              <w:spacing w:before="60" w:after="60"/>
              <w:jc w:val="center"/>
              <w:rPr>
                <w:rFonts w:ascii="Times New Roman" w:hAnsi="Times New Roman"/>
                <w:b/>
                <w:sz w:val="20"/>
                <w:szCs w:val="20"/>
              </w:rPr>
            </w:pPr>
          </w:p>
        </w:tc>
        <w:tc>
          <w:tcPr>
            <w:tcW w:w="1080" w:type="dxa"/>
            <w:shd w:val="pct5" w:color="auto" w:fill="FFFFFF"/>
          </w:tcPr>
          <w:p w:rsidR="0073065F" w:rsidRPr="0008244B" w:rsidRDefault="0073065F" w:rsidP="00401018">
            <w:pPr>
              <w:spacing w:before="60" w:after="60"/>
              <w:jc w:val="center"/>
              <w:rPr>
                <w:rFonts w:ascii="Times New Roman" w:hAnsi="Times New Roman"/>
                <w:b/>
                <w:sz w:val="20"/>
                <w:szCs w:val="20"/>
              </w:rPr>
            </w:pPr>
          </w:p>
        </w:tc>
        <w:tc>
          <w:tcPr>
            <w:tcW w:w="1260" w:type="dxa"/>
            <w:shd w:val="pct5" w:color="auto" w:fill="FFFFFF"/>
          </w:tcPr>
          <w:p w:rsidR="0073065F" w:rsidRPr="0008244B" w:rsidRDefault="0073065F" w:rsidP="00401018">
            <w:pPr>
              <w:spacing w:before="60" w:after="6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100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Stawki celne </w:t>
            </w:r>
            <w:r w:rsidRPr="0008244B">
              <w:rPr>
                <w:rFonts w:ascii="Times New Roman" w:hAnsi="Times New Roman"/>
                <w:b/>
                <w:i/>
                <w:sz w:val="20"/>
                <w:szCs w:val="20"/>
              </w:rPr>
              <w:t>erga omnes</w:t>
            </w:r>
            <w:r w:rsidRPr="0008244B">
              <w:rPr>
                <w:rFonts w:ascii="Times New Roman" w:hAnsi="Times New Roman"/>
                <w:b/>
                <w:sz w:val="20"/>
                <w:szCs w:val="20"/>
              </w:rPr>
              <w:t xml:space="preserve"> dla krajów trzecich</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w:t>
            </w:r>
            <w:r w:rsidRPr="0008244B">
              <w:rPr>
                <w:rFonts w:ascii="Times New Roman" w:hAnsi="Times New Roman"/>
                <w:spacing w:val="-2"/>
                <w:sz w:val="20"/>
                <w:szCs w:val="20"/>
              </w:rPr>
              <w:t>zwykłe stawki celne zgodnie z art. 56 ust. 2 lit. c UKC</w:t>
            </w:r>
            <w:r w:rsidRPr="0008244B">
              <w:rPr>
                <w:rFonts w:ascii="Times New Roman" w:hAnsi="Times New Roman"/>
                <w:sz w:val="20"/>
                <w:szCs w:val="20"/>
              </w:rPr>
              <w:t>)</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W tych przypadkach nie jest wnioskowana preferencyjna stawka celna lub taka stawka nie istnieje.</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103</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100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Stawki celne </w:t>
            </w:r>
            <w:r w:rsidRPr="0008244B">
              <w:rPr>
                <w:rFonts w:ascii="Times New Roman" w:hAnsi="Times New Roman"/>
                <w:b/>
                <w:i/>
                <w:sz w:val="20"/>
                <w:szCs w:val="20"/>
              </w:rPr>
              <w:t>erga omnes</w:t>
            </w:r>
            <w:r w:rsidRPr="0008244B">
              <w:rPr>
                <w:rFonts w:ascii="Times New Roman" w:hAnsi="Times New Roman"/>
                <w:b/>
                <w:sz w:val="20"/>
                <w:szCs w:val="20"/>
              </w:rPr>
              <w:t xml:space="preserve"> dla krajów trzecich</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w:t>
            </w:r>
            <w:r w:rsidRPr="0008244B">
              <w:rPr>
                <w:rFonts w:ascii="Times New Roman" w:hAnsi="Times New Roman"/>
                <w:spacing w:val="-2"/>
                <w:sz w:val="20"/>
                <w:szCs w:val="20"/>
              </w:rPr>
              <w:t>zwykłe stawki celne zgodnie z art.  56 ust. 2 lit. c UKC</w:t>
            </w:r>
            <w:r w:rsidRPr="0008244B">
              <w:rPr>
                <w:rFonts w:ascii="Times New Roman" w:hAnsi="Times New Roman"/>
                <w:sz w:val="20"/>
                <w:szCs w:val="20"/>
              </w:rPr>
              <w:t>)</w:t>
            </w:r>
            <w:r>
              <w:rPr>
                <w:rFonts w:ascii="Times New Roman" w:hAnsi="Times New Roman"/>
                <w:sz w:val="20"/>
                <w:szCs w:val="20"/>
              </w:rPr>
              <w:t>.</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W tych przypadkach nie jest wnioskowana preferencyjna stawka celna lub taka stawka nie istnieje.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Kompletne cła dodatkowe stosowane systematycznie.</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Czasowe zawieszenia autonomicznych stawek celnych przyznane są pewnym towarom z sektora rolnego, chemicznego, lotniczego i mikroelektronicznego. Większość z nich zawarta jest w corocznych rozporządzeniach. (Podstawowym rozporządzeniem w sprawie autonomicznych zawieszeń jest rozporządzenie 1387/2013, które jest zmieniane dwa razy w roku w celu dodania lub wycofania produktów z załącznika).  Inne są pokazane jako przypisy do pewnych kodów CN i mają zastosowanie na czas nieokreślony. Stawki celne mogą być zawieszone albo całkowicie (np. dział 27), albo częściowo (np. 2905 44, 3201 20 00, 3824 60 itd.).</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112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FFFFFF"/>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110</w:t>
            </w:r>
          </w:p>
        </w:tc>
        <w:tc>
          <w:tcPr>
            <w:tcW w:w="4602" w:type="dxa"/>
            <w:shd w:val="clear" w:color="auto" w:fill="FFFFFF"/>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Aktualnie  autonomiczne zawieszenia taryfowe nie zwalniają z ceł dodatkowych.</w:t>
            </w:r>
          </w:p>
        </w:tc>
        <w:tc>
          <w:tcPr>
            <w:tcW w:w="1374" w:type="dxa"/>
            <w:shd w:val="clear" w:color="auto" w:fill="FFFFFF"/>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shd w:val="clear" w:color="auto" w:fill="FFFFFF"/>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FFFFFF"/>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115</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pod warunkiem końcowego przeznaczenia (end-use)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Zastosowanie autonomicznych zawieszeń  taryfowych pod warunkiem końcowego przeznaczenia, zgodnie z art. 254 UKC</w:t>
            </w:r>
            <w:r w:rsidRPr="0008244B">
              <w:rPr>
                <w:rFonts w:ascii="Times New Roman" w:hAnsi="Times New Roman"/>
                <w:sz w:val="20"/>
                <w:szCs w:val="20"/>
              </w:rPr>
              <w:br/>
              <w:t>Przykłady:</w:t>
            </w:r>
            <w:r w:rsidRPr="0008244B">
              <w:rPr>
                <w:rFonts w:ascii="Times New Roman" w:hAnsi="Times New Roman"/>
                <w:sz w:val="20"/>
                <w:szCs w:val="20"/>
              </w:rPr>
              <w:br/>
              <w:t>- rozporządzenie Rady 1344/2011 zawieszające  cła autonomiczne Wspólnej Taryfy Celnej na niektóre produkty rolne, produkty rybołówstwa i przemysłowe oraz uchylające rozporządzenie (WE) nr 1255/96.</w:t>
            </w:r>
            <w:r w:rsidRPr="0008244B">
              <w:rPr>
                <w:rFonts w:ascii="Times New Roman" w:hAnsi="Times New Roman"/>
                <w:sz w:val="20"/>
                <w:szCs w:val="20"/>
              </w:rPr>
              <w:br/>
              <w:t>- rozporządzenie 3050/1995 zawieszające czasowo cła autonomiczne Wspólnej Taryfy Celnej na niektóre produkty przeznaczone do konstruowania, konserwacji i naprawy statków powietrznych.</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115</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115</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pod warunkiem końcowego przeznaczenia (end-use)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Zastosowanie autonomicznych zawieszeń  taryfowych pod warunkiem końcowego przeznaczenia, zgodnie z </w:t>
            </w:r>
            <w:r w:rsidRPr="0008244B">
              <w:rPr>
                <w:rFonts w:ascii="Times New Roman" w:hAnsi="Times New Roman"/>
                <w:sz w:val="20"/>
                <w:szCs w:val="20"/>
              </w:rPr>
              <w:lastRenderedPageBreak/>
              <w:t>art. 254 UCC</w:t>
            </w:r>
            <w:r w:rsidRPr="0008244B">
              <w:rPr>
                <w:rFonts w:ascii="Times New Roman" w:hAnsi="Times New Roman"/>
                <w:sz w:val="20"/>
                <w:szCs w:val="20"/>
              </w:rPr>
              <w:br/>
              <w:t>Przykłady:</w:t>
            </w:r>
            <w:r w:rsidRPr="0008244B">
              <w:rPr>
                <w:rFonts w:ascii="Times New Roman" w:hAnsi="Times New Roman"/>
                <w:sz w:val="20"/>
                <w:szCs w:val="20"/>
              </w:rPr>
              <w:br/>
              <w:t>- rozporządzenie Rady 1344/2011 zawieszające  cła autonomiczne Wspólnej Taryfy Celnej na niektóre produkty rolne, produkty rybołówstwa i przemysłowe oraz uchylające rozporządzenie (WE) nr 1255/96.</w:t>
            </w:r>
            <w:r w:rsidRPr="0008244B">
              <w:rPr>
                <w:rFonts w:ascii="Times New Roman" w:hAnsi="Times New Roman"/>
                <w:sz w:val="20"/>
                <w:szCs w:val="20"/>
              </w:rPr>
              <w:br/>
              <w:t>- rozporządzenie 3050/1995 zawieszające czasowo cła autonomiczne Wspólnej Taryfy Celnej na niektóre produkty przeznaczone do konstruowania, konserwacji i naprawy statków powietrznych.</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lastRenderedPageBreak/>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115</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pod warunkiem końcowego przeznaczenia (end-use)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Kiedy cła antydumpingowe (lub dowolne cło dodatkowe) stosowane są dla pozycji, która nie jest pozycją końcowego przeznaczenia, to wymagania końcowego przeznaczenia stosuje się, nawet jeśli stawka celna nie jest niższa dla pozycji końcowego przeznaczenia.</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112</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Del="009E61A3"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118</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ze świadectwem potwierdzającym specjalny charakter produktu </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Aktualnie nie ma zastosowania.</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Del="009E61A3"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118</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ze świadectwem potwierdzającym specjalny charakter produktu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Aktualnie nie ma zastosowania.</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Del="009E61A3"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119</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pod warunkiem „świadectwa zdatności do lotu”</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Te zawieszenia przyznawane są tylko wtedy, gdy zostało przedstawione świadectwo zdatności do lotu.</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Podstawą prawną tych zawieszeń jest rozporządzenie Rady (WE) nr 1147/2002 z dnia 25 czerwca 2002 r. w   sprawie tymczasowego zawieszenia autonomicznych ceł Wspólnej Taryfy Celnej na niektóre przywożone towary posiadające świadectwo zdatności do lotu.</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119</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119</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Autonomiczne zawieszenia taryfowe </w:t>
            </w:r>
            <w:r w:rsidRPr="0008244B">
              <w:rPr>
                <w:rFonts w:ascii="Times New Roman" w:hAnsi="Times New Roman"/>
                <w:b/>
                <w:i/>
                <w:sz w:val="20"/>
                <w:szCs w:val="20"/>
              </w:rPr>
              <w:t>erga omnes</w:t>
            </w:r>
            <w:r w:rsidRPr="0008244B">
              <w:rPr>
                <w:rFonts w:ascii="Times New Roman" w:hAnsi="Times New Roman"/>
                <w:b/>
                <w:sz w:val="20"/>
                <w:szCs w:val="20"/>
              </w:rPr>
              <w:t xml:space="preserve"> pod warunkiem “świadectwa zdatności do lotu”</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Te zawieszenia przyznawane są tylko wtedy, jeśli zostało przedstawione świadectwo zdatności do lotu.</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Podstawą prawną tych zawieszeń jest rozporządzenie Rady (WE) nr 1147/2002 z dnia 25 czerwca 2002 r. w   sprawie tymczasowego zawieszenia autonomicznych ceł Wspólnej Taryfy Celnej na niektóre przywożone towary posiadające świadectwo zdatności do lotu.</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Aktualnie autonomiczne zawieszenia taryfowe zdatności do lotu nie zwalniają z ceł dodatkowych.</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Obejmuje kontyngenty taryfowe WTO i autonomiczne, </w:t>
            </w:r>
            <w:r w:rsidRPr="0008244B">
              <w:rPr>
                <w:rFonts w:ascii="Times New Roman" w:hAnsi="Times New Roman"/>
                <w:i/>
                <w:sz w:val="20"/>
                <w:szCs w:val="20"/>
              </w:rPr>
              <w:t>erga omnes</w:t>
            </w:r>
            <w:r w:rsidRPr="0008244B">
              <w:rPr>
                <w:rFonts w:ascii="Times New Roman" w:hAnsi="Times New Roman"/>
                <w:sz w:val="20"/>
                <w:szCs w:val="20"/>
              </w:rPr>
              <w:t xml:space="preserve"> i związane z pochodzeniem.</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122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lastRenderedPageBreak/>
              <w:t xml:space="preserve">Obejmuje kontyngenty taryfowe WTO i autonomiczne, </w:t>
            </w:r>
            <w:r w:rsidRPr="0008244B">
              <w:rPr>
                <w:rFonts w:ascii="Times New Roman" w:hAnsi="Times New Roman"/>
                <w:i/>
                <w:sz w:val="20"/>
                <w:szCs w:val="20"/>
              </w:rPr>
              <w:t>erga omnes</w:t>
            </w:r>
            <w:r w:rsidRPr="0008244B">
              <w:rPr>
                <w:rFonts w:ascii="Times New Roman" w:hAnsi="Times New Roman"/>
                <w:sz w:val="20"/>
                <w:szCs w:val="20"/>
              </w:rPr>
              <w:t xml:space="preserve"> i związane z pochodzeniem.</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Potencjalnie stosowane są do kompletnych ceł dodatkowych..</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lastRenderedPageBreak/>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Niepreferencyjne kontyngenty mogą zwalniać, nawet częściowo, z kompletnych ceł dodatkowych.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123</w:t>
            </w:r>
          </w:p>
        </w:tc>
        <w:tc>
          <w:tcPr>
            <w:tcW w:w="4602" w:type="dxa"/>
            <w:shd w:val="clear" w:color="auto" w:fill="auto"/>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Niepreferencyjne kontyngenty taryfowe pod warunkiem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Pewne kontyngenty taryfowe o kodzie 120 przyznawane są tylko wtedy, gdy towary otrzymają specyficzne przeznaczenie, „końcowe przeznaczenie (end-use)”</w:t>
            </w:r>
            <w:r w:rsidRPr="0008244B" w:rsidDel="00477B92">
              <w:rPr>
                <w:rFonts w:ascii="Times New Roman" w:hAnsi="Times New Roman"/>
                <w:sz w:val="20"/>
                <w:szCs w:val="20"/>
              </w:rPr>
              <w:t xml:space="preserve"> </w:t>
            </w:r>
            <w:r w:rsidRPr="0008244B">
              <w:rPr>
                <w:rFonts w:ascii="Times New Roman" w:hAnsi="Times New Roman"/>
                <w:sz w:val="20"/>
                <w:szCs w:val="20"/>
              </w:rPr>
              <w:t>zgodnie z art. 254 UKC.</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123</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123</w:t>
            </w:r>
          </w:p>
        </w:tc>
        <w:tc>
          <w:tcPr>
            <w:tcW w:w="4602" w:type="dxa"/>
            <w:shd w:val="clear" w:color="auto" w:fill="auto"/>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Niepreferencyjne kontyngenty taryfowe pod warunkiem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r w:rsidRPr="0008244B" w:rsidDel="00E74647">
              <w:rPr>
                <w:rFonts w:ascii="Times New Roman" w:hAnsi="Times New Roman"/>
                <w:sz w:val="20"/>
                <w:szCs w:val="20"/>
              </w:rPr>
              <w:t xml:space="preserve">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122</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123</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 pod warunkiem końcowego przeznaczenia</w:t>
            </w:r>
          </w:p>
          <w:p w:rsidR="0073065F" w:rsidRPr="0008244B" w:rsidRDefault="0073065F" w:rsidP="00401018">
            <w:pPr>
              <w:spacing w:before="30" w:after="30"/>
              <w:rPr>
                <w:rFonts w:ascii="Times New Roman" w:hAnsi="Times New Roman"/>
                <w:b/>
                <w:i/>
                <w:sz w:val="20"/>
                <w:szCs w:val="20"/>
              </w:rPr>
            </w:pPr>
            <w:r w:rsidRPr="0008244B">
              <w:rPr>
                <w:rFonts w:ascii="Times New Roman" w:hAnsi="Times New Roman"/>
                <w:sz w:val="20"/>
                <w:szCs w:val="20"/>
              </w:rPr>
              <w:t xml:space="preserve">Potencjalnie są stosowane kompletne cła dodatkowe.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123</w:t>
            </w:r>
          </w:p>
        </w:tc>
        <w:tc>
          <w:tcPr>
            <w:tcW w:w="4602" w:type="dxa"/>
            <w:shd w:val="clear" w:color="auto" w:fill="auto"/>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Niepreferencyjne kontyngenty taryfowe pod warunkiem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Niepreferencyjne kontyngenty mogą zmniejszyć, nawet częściowo, z pełnych dodatkowych ceł.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125</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 pod warunkiem przedstawienia specjalnego świadectwa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Muszą to być inne dokumenty niż świadectwa pochodzenia, np. świadectwa rodowodowe, rękodzielnicze, tkactwa ręcznego...</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122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shd w:val="clear" w:color="auto" w:fill="auto"/>
          </w:tcPr>
          <w:p w:rsidR="0073065F" w:rsidRPr="0008244B" w:rsidRDefault="0073065F" w:rsidP="00401018">
            <w:pPr>
              <w:spacing w:before="30" w:after="30"/>
              <w:jc w:val="center"/>
              <w:rPr>
                <w:rFonts w:ascii="Times New Roman" w:hAnsi="Times New Roman"/>
                <w:b/>
                <w:spacing w:val="-4"/>
                <w:sz w:val="20"/>
                <w:szCs w:val="20"/>
              </w:rPr>
            </w:pPr>
            <w:r w:rsidRPr="0008244B">
              <w:rPr>
                <w:rFonts w:ascii="Times New Roman" w:hAnsi="Times New Roman"/>
                <w:b/>
                <w:spacing w:val="-4"/>
                <w:sz w:val="20"/>
                <w:szCs w:val="20"/>
              </w:rPr>
              <w:t>Warunki:</w:t>
            </w:r>
          </w:p>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B, C,</w:t>
            </w:r>
            <w:r w:rsidRPr="0008244B">
              <w:rPr>
                <w:rFonts w:ascii="Times New Roman" w:hAnsi="Times New Roman"/>
                <w:b/>
                <w:sz w:val="20"/>
                <w:szCs w:val="20"/>
              </w:rPr>
              <w:br/>
              <w:t xml:space="preserve"> Q, Y</w:t>
            </w: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125</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 pod warunkiem specjalnego świadectwa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Potencjalnie stosowane są pełne cła dodatkowe.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clear" w:color="auto" w:fill="auto"/>
          </w:tcPr>
          <w:p w:rsidR="0073065F" w:rsidRPr="0008244B" w:rsidRDefault="0073065F" w:rsidP="00401018">
            <w:pPr>
              <w:spacing w:before="30" w:after="30"/>
              <w:jc w:val="center"/>
              <w:rPr>
                <w:rFonts w:ascii="Times New Roman" w:hAnsi="Times New Roman"/>
                <w:b/>
                <w:spacing w:val="-4"/>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125</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Niepreferencyjne kontyngenty taryfowe pod warunkiem specjalnego świadectwa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Te kontyngenty mogą zwalniać, nawet częściowo, z kompletnych ceł dodatkowych.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shd w:val="clear" w:color="auto" w:fill="auto"/>
          </w:tcPr>
          <w:p w:rsidR="0073065F" w:rsidRPr="0008244B" w:rsidRDefault="0073065F" w:rsidP="00401018">
            <w:pPr>
              <w:spacing w:before="30" w:after="30"/>
              <w:jc w:val="center"/>
              <w:rPr>
                <w:rFonts w:ascii="Times New Roman" w:hAnsi="Times New Roman"/>
                <w:b/>
                <w:spacing w:val="-4"/>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128</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Kontyngenty taryfowe </w:t>
            </w:r>
            <w:r w:rsidRPr="0008244B">
              <w:rPr>
                <w:rFonts w:ascii="Times New Roman" w:hAnsi="Times New Roman"/>
                <w:b/>
                <w:i/>
                <w:sz w:val="20"/>
                <w:szCs w:val="20"/>
              </w:rPr>
              <w:t>erga omnes</w:t>
            </w:r>
            <w:r w:rsidRPr="0008244B">
              <w:rPr>
                <w:rFonts w:ascii="Times New Roman" w:hAnsi="Times New Roman"/>
                <w:b/>
                <w:sz w:val="20"/>
                <w:szCs w:val="20"/>
              </w:rPr>
              <w:t xml:space="preserve"> po uszlachetnieniu biernym</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Pewne kontyngenty taryfowe o kodzie 128 są przyznawane wyłącznie zgodnie z prawodawstwem UE dotyczącym uzgodnień związanych z przetwarzaniem.</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122</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OPQ</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128</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 xml:space="preserve">Kontyngenty taryfowe </w:t>
            </w:r>
            <w:r w:rsidRPr="0008244B">
              <w:rPr>
                <w:rFonts w:ascii="Times New Roman" w:hAnsi="Times New Roman"/>
                <w:b/>
                <w:i/>
                <w:sz w:val="20"/>
                <w:szCs w:val="20"/>
              </w:rPr>
              <w:t>erga omnes</w:t>
            </w:r>
            <w:r w:rsidRPr="0008244B">
              <w:rPr>
                <w:rFonts w:ascii="Times New Roman" w:hAnsi="Times New Roman"/>
                <w:b/>
                <w:sz w:val="20"/>
                <w:szCs w:val="20"/>
              </w:rPr>
              <w:t xml:space="preserve"> po uszlachetnieniu biernym</w:t>
            </w:r>
            <w:r w:rsidRPr="0008244B">
              <w:rPr>
                <w:rFonts w:ascii="Times New Roman" w:hAnsi="Times New Roman"/>
                <w:sz w:val="20"/>
                <w:szCs w:val="20"/>
              </w:rPr>
              <w:t xml:space="preserve"> </w:t>
            </w:r>
          </w:p>
          <w:p w:rsidR="0073065F" w:rsidRPr="0008244B" w:rsidRDefault="0073065F" w:rsidP="00401018">
            <w:pPr>
              <w:spacing w:before="30" w:after="30"/>
              <w:rPr>
                <w:rFonts w:ascii="Times New Roman" w:hAnsi="Times New Roman"/>
                <w:b/>
                <w:i/>
                <w:sz w:val="20"/>
                <w:szCs w:val="20"/>
              </w:rPr>
            </w:pPr>
            <w:r w:rsidRPr="0008244B">
              <w:rPr>
                <w:rFonts w:ascii="Times New Roman" w:hAnsi="Times New Roman"/>
                <w:sz w:val="20"/>
                <w:szCs w:val="20"/>
              </w:rPr>
              <w:t>Pewne kontyngenty taryfowe o kodzie 128 są przyznawane wyłącznie zgodnie z prawodawstwem UE dotyczącym uzgodnień związanych z przetwarzaniem</w:t>
            </w:r>
            <w:r w:rsidRPr="0008244B" w:rsidDel="009A61EB">
              <w:rPr>
                <w:rFonts w:ascii="Times New Roman" w:hAnsi="Times New Roman"/>
                <w:sz w:val="20"/>
                <w:szCs w:val="20"/>
              </w:rPr>
              <w:t xml:space="preserve"> </w:t>
            </w:r>
            <w:r w:rsidRPr="0008244B">
              <w:rPr>
                <w:rFonts w:ascii="Times New Roman" w:hAnsi="Times New Roman"/>
                <w:sz w:val="20"/>
                <w:szCs w:val="20"/>
              </w:rPr>
              <w:t xml:space="preserve">Potencjalnie stosowane są kompletne cła dodatkowe.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128</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 xml:space="preserve">Kontyngenty taryfowe </w:t>
            </w:r>
            <w:r w:rsidRPr="0008244B">
              <w:rPr>
                <w:rFonts w:ascii="Times New Roman" w:hAnsi="Times New Roman"/>
                <w:b/>
                <w:i/>
                <w:sz w:val="20"/>
                <w:szCs w:val="20"/>
              </w:rPr>
              <w:t>erga omnes</w:t>
            </w:r>
            <w:r w:rsidRPr="0008244B">
              <w:rPr>
                <w:rFonts w:ascii="Times New Roman" w:hAnsi="Times New Roman"/>
                <w:b/>
                <w:sz w:val="20"/>
                <w:szCs w:val="20"/>
              </w:rPr>
              <w:t xml:space="preserve"> po </w:t>
            </w:r>
            <w:r w:rsidRPr="0008244B">
              <w:rPr>
                <w:rFonts w:ascii="Times New Roman" w:hAnsi="Times New Roman"/>
                <w:b/>
                <w:sz w:val="20"/>
                <w:szCs w:val="20"/>
              </w:rPr>
              <w:lastRenderedPageBreak/>
              <w:t>uszlachetnieniu biernym</w:t>
            </w:r>
            <w:r w:rsidRPr="0008244B">
              <w:rPr>
                <w:rFonts w:ascii="Times New Roman" w:hAnsi="Times New Roman"/>
                <w:sz w:val="20"/>
                <w:szCs w:val="20"/>
              </w:rPr>
              <w:t xml:space="preserve">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Pewne kontyngenty taryfowe o kodzie 128 są przyznawane wyłącznie zgodnie z prawodawstwem UE dotyczącym uzgodnień związanych z przetwarzaniem</w:t>
            </w:r>
            <w:r w:rsidRPr="0008244B" w:rsidDel="009A61EB">
              <w:rPr>
                <w:rFonts w:ascii="Times New Roman" w:hAnsi="Times New Roman"/>
                <w:sz w:val="20"/>
                <w:szCs w:val="20"/>
              </w:rPr>
              <w:t xml:space="preserve"> </w:t>
            </w:r>
            <w:r w:rsidRPr="0008244B">
              <w:rPr>
                <w:rFonts w:ascii="Times New Roman" w:hAnsi="Times New Roman"/>
                <w:sz w:val="20"/>
                <w:szCs w:val="20"/>
              </w:rPr>
              <w:t xml:space="preserve">Te kontyngenty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lastRenderedPageBreak/>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KON</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Specjalne końcowe przeznaczenie wynikające ze Wspólnej Taryfy Celnej</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Zastosowanie stawek celnych dla krajów trzecich pod warunkiem końcowego przeznaczenia, zgodnie z art. 254 UKC.</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105</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DNC</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Specjalne końcowe przeznaczenie wynikające ze Wspólnej Taryfy Celnej</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Zastosowanie stawek celnych dla krajów trzecich pod warunkiem końcowego przeznaczenia, zgodnie z art. 254 UKC.</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Kompletne cła dodatkowe stosowane systematycznie.</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140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Specjalne końcowe przeznaczenie wynikające ze Wspólnej Taryfy Celnej</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103</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DNC</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140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Zawieszenia taryfowe pod warunkiem końcowego przeznaczenia (art. 254 UKC).</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Zastosowanie zawieszeń  taryfowych pod warunkiem końcowego przeznaczenia, zgodnie z art. 254 UKC.</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Niektóre przypadki końcowego przeznaczenia wymienione są w Nomenklaturze Scalonej (patrz przepisy wstępne).</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117</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SUS</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140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Specjalne końcowe przeznaczenie wynikające ze Wspólnej Taryfy Celnej</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117</w:t>
            </w:r>
          </w:p>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w:t>
            </w:r>
          </w:p>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464</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SUS</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Specjalne końcowe przeznaczenie wynikające ze Wspólnej Taryfy Celnej</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dla linii, która nie jest linią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Kompletne cła dodatkowe stosowane systematycznie.</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150</w:t>
            </w:r>
          </w:p>
        </w:tc>
        <w:tc>
          <w:tcPr>
            <w:tcW w:w="4602"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Dopuszczenie kodów CN pod warunkiem specjalnych świadectw</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Większość z tych przypadków oraz odpowiednie świadectwa wymienione są w Nomenklaturze Scalonej (patrz Przepisy wstępne). Inne wymienione są jako przypisy do odpowiednich kodów CN, np. 0202 30 50.</w:t>
            </w:r>
          </w:p>
        </w:tc>
        <w:tc>
          <w:tcPr>
            <w:tcW w:w="1374"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103</w:t>
            </w:r>
          </w:p>
        </w:tc>
        <w:tc>
          <w:tcPr>
            <w:tcW w:w="108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26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150</w:t>
            </w:r>
          </w:p>
        </w:tc>
        <w:tc>
          <w:tcPr>
            <w:tcW w:w="4602"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Dopuszczenie kodów CN pod warunkiem specjalnych świadectw</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Większość z tych przypadków oraz odpowiednie świadectwa wymienione są w Nomenklaturze Scalonej (patrz Przepisy wstępne). Inne wymienione </w:t>
            </w:r>
            <w:r w:rsidRPr="0008244B">
              <w:rPr>
                <w:rFonts w:ascii="Times New Roman" w:hAnsi="Times New Roman"/>
                <w:sz w:val="20"/>
                <w:szCs w:val="20"/>
              </w:rPr>
              <w:lastRenderedPageBreak/>
              <w:t>są jako przypisy do odpowiednich kodów CN, np. 0202 30 50.</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Kompletne cła dodatkowe stosowane systematycznie.</w:t>
            </w:r>
          </w:p>
        </w:tc>
        <w:tc>
          <w:tcPr>
            <w:tcW w:w="1374"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lastRenderedPageBreak/>
              <w:t>651, 652</w:t>
            </w:r>
          </w:p>
        </w:tc>
        <w:tc>
          <w:tcPr>
            <w:tcW w:w="108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26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4602" w:type="dxa"/>
            <w:tcBorders>
              <w:bottom w:val="dotted" w:sz="6" w:space="0" w:color="auto"/>
            </w:tcBorders>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1374" w:type="dxa"/>
            <w:tcBorders>
              <w:bottom w:val="dotted" w:sz="6" w:space="0" w:color="auto"/>
            </w:tcBorders>
            <w:shd w:val="pct10" w:color="auto" w:fill="FFFFFF"/>
          </w:tcPr>
          <w:p w:rsidR="0073065F" w:rsidRPr="0008244B" w:rsidRDefault="0073065F" w:rsidP="00401018">
            <w:pPr>
              <w:spacing w:before="30" w:after="30" w:line="120" w:lineRule="atLeast"/>
              <w:jc w:val="center"/>
              <w:rPr>
                <w:rFonts w:ascii="Times New Roman" w:hAnsi="Times New Roman"/>
                <w:sz w:val="20"/>
                <w:szCs w:val="20"/>
              </w:rPr>
            </w:pPr>
          </w:p>
        </w:tc>
        <w:tc>
          <w:tcPr>
            <w:tcW w:w="1080" w:type="dxa"/>
            <w:tcBorders>
              <w:bottom w:val="dotted" w:sz="6" w:space="0" w:color="auto"/>
            </w:tcBorders>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c>
          <w:tcPr>
            <w:tcW w:w="1260" w:type="dxa"/>
            <w:tcBorders>
              <w:bottom w:val="dotted" w:sz="6" w:space="0" w:color="auto"/>
            </w:tcBorders>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r>
      <w:tr w:rsidR="0073065F" w:rsidRPr="0008244B" w:rsidTr="00401018">
        <w:tc>
          <w:tcPr>
            <w:tcW w:w="864" w:type="dxa"/>
            <w:shd w:val="pct5"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w:t>
            </w:r>
          </w:p>
        </w:tc>
        <w:tc>
          <w:tcPr>
            <w:tcW w:w="4602" w:type="dxa"/>
            <w:shd w:val="pct5"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Ogólny System Preferencji (GSP)</w:t>
            </w:r>
          </w:p>
        </w:tc>
        <w:tc>
          <w:tcPr>
            <w:tcW w:w="1374" w:type="dxa"/>
            <w:shd w:val="pct5" w:color="auto" w:fill="auto"/>
          </w:tcPr>
          <w:p w:rsidR="0073065F" w:rsidRPr="0008244B" w:rsidRDefault="0073065F" w:rsidP="00401018">
            <w:pPr>
              <w:spacing w:before="30" w:after="30"/>
              <w:jc w:val="center"/>
              <w:rPr>
                <w:rFonts w:ascii="Times New Roman" w:hAnsi="Times New Roman"/>
                <w:b/>
                <w:sz w:val="20"/>
                <w:szCs w:val="20"/>
              </w:rPr>
            </w:pPr>
          </w:p>
        </w:tc>
        <w:tc>
          <w:tcPr>
            <w:tcW w:w="1080" w:type="dxa"/>
            <w:shd w:val="pct5"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shd w:val="pct5"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nil"/>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200</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Stawka celna GSP bez warunków lub ograniczeń</w:t>
            </w:r>
          </w:p>
          <w:p w:rsidR="0073065F" w:rsidRPr="0008244B" w:rsidRDefault="0073065F" w:rsidP="00401018">
            <w:pPr>
              <w:spacing w:before="30" w:after="30"/>
              <w:rPr>
                <w:rFonts w:ascii="Times New Roman" w:hAnsi="Times New Roman"/>
                <w:sz w:val="20"/>
                <w:szCs w:val="20"/>
              </w:rPr>
            </w:pP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142</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top w:val="nil"/>
            </w:tcBorders>
          </w:tcPr>
          <w:p w:rsidR="0073065F" w:rsidRPr="0008244B" w:rsidRDefault="0073065F" w:rsidP="00401018">
            <w:pPr>
              <w:spacing w:before="30" w:after="30"/>
              <w:rPr>
                <w:rFonts w:ascii="Times New Roman" w:hAnsi="Times New Roman"/>
                <w:b/>
                <w:sz w:val="20"/>
                <w:szCs w:val="20"/>
              </w:rPr>
            </w:pPr>
            <w:r>
              <w:rPr>
                <w:rFonts w:ascii="Times New Roman" w:hAnsi="Times New Roman"/>
                <w:b/>
                <w:sz w:val="20"/>
                <w:szCs w:val="20"/>
              </w:rPr>
              <w:t>200</w:t>
            </w:r>
          </w:p>
        </w:tc>
        <w:tc>
          <w:tcPr>
            <w:tcW w:w="4602" w:type="dxa"/>
          </w:tcPr>
          <w:p w:rsidR="0073065F" w:rsidRPr="00F450E4" w:rsidRDefault="0073065F" w:rsidP="00401018">
            <w:pPr>
              <w:spacing w:before="30" w:after="30"/>
              <w:rPr>
                <w:rFonts w:ascii="Times New Roman" w:hAnsi="Times New Roman"/>
                <w:sz w:val="20"/>
                <w:szCs w:val="20"/>
              </w:rPr>
            </w:pPr>
            <w:r w:rsidRPr="00F450E4">
              <w:rPr>
                <w:rFonts w:ascii="Times New Roman" w:hAnsi="Times New Roman"/>
                <w:sz w:val="20"/>
                <w:szCs w:val="20"/>
              </w:rPr>
              <w:t>Stawka celna GSP z warunkiem</w:t>
            </w:r>
          </w:p>
          <w:p w:rsidR="0073065F" w:rsidRPr="0008244B" w:rsidRDefault="0073065F" w:rsidP="00401018">
            <w:pPr>
              <w:spacing w:before="30" w:after="30"/>
              <w:rPr>
                <w:rFonts w:ascii="Times New Roman" w:hAnsi="Times New Roman"/>
                <w:sz w:val="20"/>
                <w:szCs w:val="20"/>
              </w:rPr>
            </w:pPr>
            <w:r w:rsidRPr="00F450E4">
              <w:rPr>
                <w:rFonts w:ascii="Times New Roman" w:hAnsi="Times New Roman"/>
                <w:sz w:val="20"/>
                <w:szCs w:val="20"/>
              </w:rPr>
              <w:t>Podstawowym rozporządzeniem w sprawie unijnego systemu ogólnych preferencji taryfowych jest rozporządzenie Parlamentu Europejskiego Rady (UE) nr 978/2012 z dnia 25 października 2012 r.</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142</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Warunek:</w:t>
            </w:r>
          </w:p>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Q</w:t>
            </w:r>
          </w:p>
        </w:tc>
      </w:tr>
      <w:tr w:rsidR="0073065F" w:rsidRPr="0008244B" w:rsidTr="00401018">
        <w:tc>
          <w:tcPr>
            <w:tcW w:w="864" w:type="dxa"/>
            <w:tcBorders>
              <w:top w:val="nil"/>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200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Stawka celna GSP bez warunków lub ograniczeń</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Kompletne cła dodatkowe stosowane systematycznie.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top w:val="nil"/>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200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Stawka celna GSP bez warunków lub ograniczeń</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Preferencje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657, 658</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218</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Zawieszenia GSP ze świadectwem potwierdzającym specjalny charakter produktu</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Aktualnie nie ma zastosowania.</w:t>
            </w:r>
          </w:p>
        </w:tc>
        <w:tc>
          <w:tcPr>
            <w:tcW w:w="1374" w:type="dxa"/>
          </w:tcPr>
          <w:p w:rsidR="0073065F" w:rsidRPr="0008244B" w:rsidRDefault="0073065F" w:rsidP="00401018">
            <w:pPr>
              <w:spacing w:before="30" w:after="30"/>
              <w:jc w:val="center"/>
              <w:rPr>
                <w:rFonts w:ascii="Times New Roman" w:hAnsi="Times New Roman"/>
                <w:b/>
                <w:sz w:val="20"/>
                <w:szCs w:val="20"/>
              </w:rPr>
            </w:pP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Kontyngenty taryfowe GSP</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Pewne kontyngenty taryfowe o kodzie 220 są przyznawane wyłącznie zgodnie z prawodawstwem UE dotyczącym GSP.</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143</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Kontyngenty taryfowe GSP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Kontyngenty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223</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 taryfowy GSP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Korzystanie z kontyngentu taryfowego GSP pod warunkiem końcowego przeznaczenia, zgodnie z art. 254 UKC.</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146</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223</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 taryfowy GSP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143</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223</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 taryfowy GSP pod warunkiem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Kontyngenty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225</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Kontyngenty taryfowe GSP pod warunkiem specjalnego świadectwa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Muszą to być dokumenty inne niż świadectwa pochodzenia, formularz A (lub deklaracje na fakturze), np. pozwolenie na przywóz.</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143</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pacing w:val="-4"/>
                <w:sz w:val="20"/>
                <w:szCs w:val="20"/>
              </w:rPr>
            </w:pPr>
            <w:r w:rsidRPr="0008244B">
              <w:rPr>
                <w:rFonts w:ascii="Times New Roman" w:hAnsi="Times New Roman"/>
                <w:b/>
                <w:spacing w:val="-4"/>
                <w:sz w:val="20"/>
                <w:szCs w:val="20"/>
              </w:rPr>
              <w:t>Warunki:</w:t>
            </w:r>
          </w:p>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B, C,</w:t>
            </w:r>
            <w:r w:rsidRPr="0008244B">
              <w:rPr>
                <w:rFonts w:ascii="Times New Roman" w:hAnsi="Times New Roman"/>
                <w:b/>
                <w:sz w:val="20"/>
                <w:szCs w:val="20"/>
              </w:rPr>
              <w:br/>
              <w:t xml:space="preserve"> Q, Y</w:t>
            </w: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225</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Kontyngenty taryfowe GSP pod warunkiem specjalnego świadectwa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Kontyngenty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pacing w:val="-4"/>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lastRenderedPageBreak/>
              <w:t>240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stawki celne GSP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Korzystanie z preferencji GSP pod warunkiem końcowego przeznaczenia, zgodnie z art. 254 UKC.</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145</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stawki celne GSP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142</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stawki celne GSP pod warunkiem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Preferencje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657, 658</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SPG</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250</w:t>
            </w:r>
          </w:p>
        </w:tc>
        <w:tc>
          <w:tcPr>
            <w:tcW w:w="4602"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Dopuszczenie kodów CN ze specjalnymi stawkami GSP pod warunkiem specjalnego świadectwa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Aktualnie nie ma zastosowania.</w:t>
            </w:r>
          </w:p>
        </w:tc>
        <w:tc>
          <w:tcPr>
            <w:tcW w:w="1374"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08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26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4602" w:type="dxa"/>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1374" w:type="dxa"/>
            <w:shd w:val="pct10" w:color="auto" w:fill="FFFFFF"/>
          </w:tcPr>
          <w:p w:rsidR="0073065F" w:rsidRPr="0008244B" w:rsidRDefault="0073065F" w:rsidP="00401018">
            <w:pPr>
              <w:spacing w:before="30" w:after="30" w:line="120" w:lineRule="atLeast"/>
              <w:jc w:val="center"/>
              <w:rPr>
                <w:rFonts w:ascii="Times New Roman" w:hAnsi="Times New Roman"/>
                <w:sz w:val="20"/>
                <w:szCs w:val="20"/>
              </w:rPr>
            </w:pPr>
          </w:p>
        </w:tc>
        <w:tc>
          <w:tcPr>
            <w:tcW w:w="1080" w:type="dxa"/>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c>
          <w:tcPr>
            <w:tcW w:w="1260" w:type="dxa"/>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Preferencje taryfowe inne niż wymienione w kodzie 2</w:t>
            </w:r>
          </w:p>
        </w:tc>
        <w:tc>
          <w:tcPr>
            <w:tcW w:w="1374" w:type="dxa"/>
          </w:tcPr>
          <w:p w:rsidR="0073065F" w:rsidRPr="0008244B" w:rsidRDefault="0073065F" w:rsidP="00401018">
            <w:pPr>
              <w:spacing w:before="30" w:after="30"/>
              <w:jc w:val="center"/>
              <w:rPr>
                <w:rFonts w:ascii="Times New Roman" w:hAnsi="Times New Roman"/>
                <w:b/>
                <w:sz w:val="20"/>
                <w:szCs w:val="20"/>
              </w:rPr>
            </w:pP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rPr>
          <w:trHeight w:val="1063"/>
        </w:trPr>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300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Preferencyjna stawka celna bez warunków lub ograniczeń </w:t>
            </w:r>
          </w:p>
          <w:p w:rsidR="0073065F" w:rsidRPr="0008244B" w:rsidRDefault="0073065F" w:rsidP="00401018">
            <w:pPr>
              <w:rPr>
                <w:rFonts w:ascii="Times New Roman" w:hAnsi="Times New Roman"/>
                <w:sz w:val="20"/>
                <w:szCs w:val="20"/>
              </w:rPr>
            </w:pPr>
            <w:r w:rsidRPr="0008244B">
              <w:rPr>
                <w:rFonts w:ascii="Times New Roman" w:hAnsi="Times New Roman"/>
                <w:sz w:val="20"/>
                <w:szCs w:val="20"/>
              </w:rPr>
              <w:t>Stosowanie preferencyjnych stawek celnych według odpowiedniej umowy.</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142</w:t>
            </w:r>
            <w:r w:rsidRPr="0008244B">
              <w:rPr>
                <w:rFonts w:ascii="Times New Roman" w:hAnsi="Times New Roman"/>
                <w:b/>
                <w:sz w:val="20"/>
                <w:szCs w:val="20"/>
              </w:rPr>
              <w:br/>
            </w:r>
            <w:r w:rsidRPr="0008244B">
              <w:rPr>
                <w:rFonts w:ascii="Times New Roman" w:hAnsi="Times New Roman"/>
                <w:b/>
                <w:sz w:val="20"/>
                <w:szCs w:val="20"/>
              </w:rPr>
              <w:br/>
            </w:r>
          </w:p>
          <w:p w:rsidR="0073065F" w:rsidRPr="0008244B" w:rsidRDefault="0073065F" w:rsidP="00401018">
            <w:pPr>
              <w:spacing w:before="30" w:after="30"/>
              <w:jc w:val="center"/>
              <w:rPr>
                <w:rFonts w:ascii="Times New Roman" w:hAnsi="Times New Roman"/>
                <w:b/>
                <w:sz w:val="20"/>
                <w:szCs w:val="20"/>
              </w:rPr>
            </w:pPr>
          </w:p>
          <w:p w:rsidR="0073065F" w:rsidRPr="0008244B" w:rsidRDefault="0073065F" w:rsidP="00401018">
            <w:pPr>
              <w:spacing w:before="30" w:after="30"/>
              <w:jc w:val="center"/>
              <w:rPr>
                <w:rFonts w:ascii="Times New Roman" w:hAnsi="Times New Roman"/>
                <w:b/>
                <w:sz w:val="20"/>
                <w:szCs w:val="20"/>
              </w:rPr>
            </w:pP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r w:rsidRPr="0008244B">
              <w:rPr>
                <w:rFonts w:ascii="Times New Roman" w:hAnsi="Times New Roman"/>
                <w:b/>
                <w:sz w:val="20"/>
                <w:szCs w:val="20"/>
              </w:rPr>
              <w:br/>
            </w:r>
            <w:r w:rsidRPr="0008244B">
              <w:rPr>
                <w:rFonts w:ascii="Times New Roman" w:hAnsi="Times New Roman"/>
                <w:b/>
                <w:sz w:val="20"/>
                <w:szCs w:val="20"/>
              </w:rPr>
              <w:br/>
            </w:r>
          </w:p>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300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Preferencyjna stawka celna bez warunków lub ograniczeń w ramach pułapów</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preferencyjnych stawek celnych według odpowiedniej umowy.</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Aktualnie nie ma zastosowania.</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300</w:t>
            </w:r>
          </w:p>
        </w:tc>
        <w:tc>
          <w:tcPr>
            <w:tcW w:w="4602" w:type="dxa"/>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Preferencyjna stawka celna (włączając pułapy)</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Preferencje te mogą zwalniać, nawet częściowo, z kompletnych ceł dodatkowych. </w:t>
            </w:r>
          </w:p>
        </w:tc>
        <w:tc>
          <w:tcPr>
            <w:tcW w:w="1374"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657, 658</w:t>
            </w:r>
          </w:p>
        </w:tc>
        <w:tc>
          <w:tcPr>
            <w:tcW w:w="1080" w:type="dxa"/>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w:t>
            </w:r>
          </w:p>
        </w:tc>
        <w:tc>
          <w:tcPr>
            <w:tcW w:w="1260" w:type="dxa"/>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310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Umowy preferencyjne: zawieszenia taryfowe</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Przykład podstawy prawnej tego rodzaju zawieszenia taryfowego: Rozporządzenie Rady (WE) nr 1140/2004 z dnia 21 czerwca 2004 r. zawieszające cła autonomiczne dla Wspólnej Taryfy Celnej na niektóre produkty rybołówstwa pochodzące z Ceuty i Melilli.</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141</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315</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zawieszenie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Korzystanie z preferencyjnego zawieszenia pod warunkiem</w:t>
            </w:r>
            <w:r w:rsidRPr="0008244B">
              <w:rPr>
                <w:rFonts w:ascii="Times New Roman" w:hAnsi="Times New Roman"/>
                <w:b/>
                <w:sz w:val="20"/>
                <w:szCs w:val="20"/>
              </w:rPr>
              <w:t xml:space="preserve"> </w:t>
            </w:r>
            <w:r w:rsidRPr="0008244B">
              <w:rPr>
                <w:rFonts w:ascii="Times New Roman" w:hAnsi="Times New Roman"/>
                <w:sz w:val="20"/>
                <w:szCs w:val="20"/>
              </w:rPr>
              <w:t>końcowego przeznaczenia, zgodnie z art. 254 UKC.</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Aktualnie nie ma zastosowania.</w:t>
            </w:r>
          </w:p>
        </w:tc>
        <w:tc>
          <w:tcPr>
            <w:tcW w:w="1374" w:type="dxa"/>
          </w:tcPr>
          <w:p w:rsidR="0073065F" w:rsidRPr="0008244B" w:rsidRDefault="0073065F" w:rsidP="00401018">
            <w:pPr>
              <w:spacing w:before="30" w:after="30"/>
              <w:jc w:val="center"/>
              <w:rPr>
                <w:rFonts w:ascii="Times New Roman" w:hAnsi="Times New Roman"/>
                <w:b/>
                <w:sz w:val="20"/>
                <w:szCs w:val="20"/>
              </w:rPr>
            </w:pP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315</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Preferencyjne zawieszenie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Aktualnie nie ma zastosowania.</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141</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lastRenderedPageBreak/>
              <w:t>318</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zawieszenia ze świadectwem potwierdzającym szczególny charakter produktu</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Aktualnie nie ma zastosowania.</w:t>
            </w:r>
          </w:p>
        </w:tc>
        <w:tc>
          <w:tcPr>
            <w:tcW w:w="1374" w:type="dxa"/>
          </w:tcPr>
          <w:p w:rsidR="0073065F" w:rsidRPr="0008244B" w:rsidRDefault="0073065F" w:rsidP="00401018">
            <w:pPr>
              <w:spacing w:before="30" w:after="30"/>
              <w:jc w:val="center"/>
              <w:rPr>
                <w:rFonts w:ascii="Times New Roman" w:hAnsi="Times New Roman"/>
                <w:b/>
                <w:sz w:val="20"/>
                <w:szCs w:val="20"/>
              </w:rPr>
            </w:pP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320</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Preferencyjne kontyngenty taryfowe</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Preferencyjne stawki celne mają zastosowanie jedynie w limitach kontyngentów. Mogą być one zarządzane na podstawie "kto pierwszy – ten lepszy" lub pozwoleń.</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143</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320</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Preferencyjne kontyngenty taryfowe</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Kontyngenty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 xml:space="preserve">FTA, PRF </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323</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Preferencyjne kontyngenty taryfowe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Pewne kontyngenty o kodzie 320 stosuje się tylko wtedy, gdy towary otrzymają specyficzne przeznaczenie, „końcowe przeznaczenie (end-use)”</w:t>
            </w:r>
            <w:r w:rsidRPr="0008244B" w:rsidDel="00477B92">
              <w:rPr>
                <w:rFonts w:ascii="Times New Roman" w:hAnsi="Times New Roman"/>
                <w:sz w:val="20"/>
                <w:szCs w:val="20"/>
              </w:rPr>
              <w:t xml:space="preserve"> </w:t>
            </w:r>
            <w:r w:rsidRPr="0008244B">
              <w:rPr>
                <w:rFonts w:ascii="Times New Roman" w:hAnsi="Times New Roman"/>
                <w:sz w:val="20"/>
                <w:szCs w:val="20"/>
              </w:rPr>
              <w:t>zgodnie z art. 254 UKC.</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146</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323</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Preferencyjne kontyngenty taryfowe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143</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323</w:t>
            </w:r>
          </w:p>
        </w:tc>
        <w:tc>
          <w:tcPr>
            <w:tcW w:w="4602" w:type="dxa"/>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b/>
                <w:sz w:val="20"/>
                <w:szCs w:val="20"/>
              </w:rPr>
              <w:t>Preferencyjne kontyngenty taryfowe pod warunkiem końcowego przeznaczenia</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Kontyngenty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325</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Preferencyjne kontyngenty taryfowe pod warunkiem specjalnego świadectwa </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Te specjalne świadectwa muszą zawierać dokumenty inne niż EUR.1 (lub deklaracje na fakturze), np. pozwolenie na przywóz.</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143</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Warunki: B, C, Q, Y</w:t>
            </w: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325</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Preferencyjne kontyngenty taryfowe pod warunkiem specjalnego świadectwa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Kontyngenty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stawki celne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Korzystanie z preferencji pod warunkiem końcowego przeznaczenia, zgodnie z art. 254 UKC.</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145</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 RDR</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Preferencyjne stawki celne pod warunkiem końcowego przeznaczenia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Stosowanie obowiązku końcowego przeznaczenia z powodu obecności ceł antydumpingowych (lub ceł dodatkowych) na linii bez końcowego przeznaczenia</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142</w:t>
            </w:r>
            <w:r w:rsidRPr="0008244B">
              <w:rPr>
                <w:rFonts w:ascii="Times New Roman" w:hAnsi="Times New Roman"/>
                <w:b/>
                <w:sz w:val="20"/>
                <w:szCs w:val="20"/>
              </w:rPr>
              <w:br/>
              <w:t>+</w:t>
            </w:r>
            <w:r w:rsidRPr="0008244B">
              <w:rPr>
                <w:rFonts w:ascii="Times New Roman" w:hAnsi="Times New Roman"/>
                <w:b/>
                <w:sz w:val="20"/>
                <w:szCs w:val="20"/>
              </w:rPr>
              <w:br/>
              <w:t>464</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340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Preferencyjne stawki celne pod warunkiem końcowego przeznaczenia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 xml:space="preserve">Preferencje te mogą zwalniać, nawet częściowo, z kompletnych ceł dodatkowych. </w:t>
            </w:r>
          </w:p>
        </w:tc>
        <w:tc>
          <w:tcPr>
            <w:tcW w:w="1374"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657, 658</w:t>
            </w:r>
          </w:p>
        </w:tc>
        <w:tc>
          <w:tcPr>
            <w:tcW w:w="1080" w:type="dxa"/>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FTA, PRF</w:t>
            </w: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350</w:t>
            </w:r>
          </w:p>
        </w:tc>
        <w:tc>
          <w:tcPr>
            <w:tcW w:w="4602" w:type="dxa"/>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Dopuszczenie kodów CN ze specjalnymi stawkami preferencyjnymi pod warunkiem specjalnego świadectwa</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lastRenderedPageBreak/>
              <w:t>Aktualnie nie ma zastosowania.</w:t>
            </w:r>
          </w:p>
        </w:tc>
        <w:tc>
          <w:tcPr>
            <w:tcW w:w="1374" w:type="dxa"/>
          </w:tcPr>
          <w:p w:rsidR="0073065F" w:rsidRPr="0008244B" w:rsidRDefault="0073065F" w:rsidP="00401018">
            <w:pPr>
              <w:spacing w:before="30" w:after="30"/>
              <w:jc w:val="center"/>
              <w:rPr>
                <w:rFonts w:ascii="Times New Roman" w:hAnsi="Times New Roman"/>
                <w:b/>
                <w:sz w:val="20"/>
                <w:szCs w:val="20"/>
              </w:rPr>
            </w:pPr>
          </w:p>
        </w:tc>
        <w:tc>
          <w:tcPr>
            <w:tcW w:w="1080" w:type="dxa"/>
          </w:tcPr>
          <w:p w:rsidR="0073065F" w:rsidRPr="0008244B" w:rsidRDefault="0073065F" w:rsidP="00401018">
            <w:pPr>
              <w:spacing w:before="30" w:after="30"/>
              <w:jc w:val="center"/>
              <w:rPr>
                <w:rFonts w:ascii="Times New Roman" w:hAnsi="Times New Roman"/>
                <w:b/>
                <w:sz w:val="20"/>
                <w:szCs w:val="20"/>
              </w:rPr>
            </w:pPr>
          </w:p>
        </w:tc>
        <w:tc>
          <w:tcPr>
            <w:tcW w:w="1260" w:type="dxa"/>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4602" w:type="dxa"/>
            <w:shd w:val="pct10" w:color="auto" w:fill="FFFFFF"/>
          </w:tcPr>
          <w:p w:rsidR="0073065F" w:rsidRPr="0008244B" w:rsidRDefault="0073065F" w:rsidP="00401018">
            <w:pPr>
              <w:spacing w:before="30" w:after="30" w:line="120" w:lineRule="atLeast"/>
              <w:rPr>
                <w:rFonts w:ascii="Times New Roman" w:hAnsi="Times New Roman"/>
                <w:b/>
                <w:sz w:val="20"/>
                <w:szCs w:val="20"/>
              </w:rPr>
            </w:pPr>
          </w:p>
        </w:tc>
        <w:tc>
          <w:tcPr>
            <w:tcW w:w="1374" w:type="dxa"/>
            <w:shd w:val="pct10" w:color="auto" w:fill="FFFFFF"/>
          </w:tcPr>
          <w:p w:rsidR="0073065F" w:rsidRPr="0008244B" w:rsidRDefault="0073065F" w:rsidP="00401018">
            <w:pPr>
              <w:spacing w:before="30" w:after="30" w:line="120" w:lineRule="atLeast"/>
              <w:jc w:val="center"/>
              <w:rPr>
                <w:rFonts w:ascii="Times New Roman" w:hAnsi="Times New Roman"/>
                <w:sz w:val="20"/>
                <w:szCs w:val="20"/>
              </w:rPr>
            </w:pPr>
          </w:p>
        </w:tc>
        <w:tc>
          <w:tcPr>
            <w:tcW w:w="1080" w:type="dxa"/>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c>
          <w:tcPr>
            <w:tcW w:w="1260" w:type="dxa"/>
            <w:shd w:val="pct10" w:color="auto" w:fill="FFFFFF"/>
          </w:tcPr>
          <w:p w:rsidR="0073065F" w:rsidRPr="0008244B" w:rsidRDefault="0073065F" w:rsidP="00401018">
            <w:pPr>
              <w:spacing w:before="30" w:after="30" w:line="120" w:lineRule="atLeast"/>
              <w:jc w:val="center"/>
              <w:rPr>
                <w:rFonts w:ascii="Times New Roman" w:hAnsi="Times New Roman"/>
                <w:b/>
                <w:sz w:val="20"/>
                <w:szCs w:val="20"/>
              </w:rPr>
            </w:pPr>
          </w:p>
        </w:tc>
      </w:tr>
      <w:tr w:rsidR="0073065F" w:rsidRPr="0008244B" w:rsidTr="00401018">
        <w:tc>
          <w:tcPr>
            <w:tcW w:w="864"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4</w:t>
            </w:r>
          </w:p>
        </w:tc>
        <w:tc>
          <w:tcPr>
            <w:tcW w:w="4602" w:type="dxa"/>
            <w:tcBorders>
              <w:bottom w:val="dotted" w:sz="6" w:space="0" w:color="auto"/>
            </w:tcBorders>
          </w:tcPr>
          <w:p w:rsidR="0073065F" w:rsidRPr="003A2CFC" w:rsidRDefault="0073065F" w:rsidP="00401018">
            <w:pPr>
              <w:spacing w:before="30" w:after="30"/>
              <w:rPr>
                <w:rFonts w:ascii="Times New Roman" w:hAnsi="Times New Roman"/>
                <w:b/>
                <w:sz w:val="20"/>
                <w:szCs w:val="20"/>
              </w:rPr>
            </w:pPr>
            <w:r w:rsidRPr="003A2CFC">
              <w:rPr>
                <w:rFonts w:ascii="Times New Roman" w:hAnsi="Times New Roman"/>
                <w:color w:val="222222"/>
                <w:sz w:val="20"/>
                <w:szCs w:val="20"/>
              </w:rPr>
              <w:t>Cło zgodnie z postanowieniami umów o unii celnej zawartych przez Unię Europejską</w:t>
            </w:r>
          </w:p>
        </w:tc>
        <w:tc>
          <w:tcPr>
            <w:tcW w:w="1374"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08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26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400</w:t>
            </w:r>
          </w:p>
        </w:tc>
        <w:tc>
          <w:tcPr>
            <w:tcW w:w="4602" w:type="dxa"/>
            <w:tcBorders>
              <w:bottom w:val="dotted" w:sz="6" w:space="0" w:color="auto"/>
            </w:tcBorders>
          </w:tcPr>
          <w:p w:rsidR="0073065F" w:rsidRPr="0008244B" w:rsidRDefault="0073065F" w:rsidP="00401018">
            <w:pPr>
              <w:spacing w:before="30" w:after="30"/>
              <w:rPr>
                <w:rFonts w:ascii="Times New Roman" w:hAnsi="Times New Roman"/>
                <w:sz w:val="20"/>
                <w:szCs w:val="20"/>
              </w:rPr>
            </w:pPr>
            <w:r w:rsidRPr="0008244B">
              <w:rPr>
                <w:rFonts w:ascii="Times New Roman" w:hAnsi="Times New Roman"/>
                <w:color w:val="222222"/>
                <w:sz w:val="20"/>
                <w:szCs w:val="20"/>
              </w:rPr>
              <w:t>Cło wynikające z umów o unii celnej zawartych przez UE</w:t>
            </w:r>
          </w:p>
        </w:tc>
        <w:tc>
          <w:tcPr>
            <w:tcW w:w="1374"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106</w:t>
            </w:r>
          </w:p>
        </w:tc>
        <w:tc>
          <w:tcPr>
            <w:tcW w:w="108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26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400</w:t>
            </w:r>
          </w:p>
        </w:tc>
        <w:tc>
          <w:tcPr>
            <w:tcW w:w="4602" w:type="dxa"/>
            <w:tcBorders>
              <w:bottom w:val="dotted" w:sz="6" w:space="0" w:color="auto"/>
            </w:tcBorders>
            <w:shd w:val="clear" w:color="auto" w:fill="auto"/>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color w:val="222222"/>
                <w:sz w:val="20"/>
                <w:szCs w:val="20"/>
              </w:rPr>
              <w:t>Cło wynikające z umów o unii celnej zawartych przez UE</w:t>
            </w:r>
            <w:r w:rsidRPr="0008244B" w:rsidDel="00F37580">
              <w:rPr>
                <w:rFonts w:ascii="Times New Roman" w:hAnsi="Times New Roman"/>
                <w:b/>
                <w:sz w:val="20"/>
                <w:szCs w:val="20"/>
              </w:rPr>
              <w:t xml:space="preserve"> </w:t>
            </w:r>
            <w:r w:rsidRPr="0008244B">
              <w:rPr>
                <w:rFonts w:ascii="Times New Roman" w:hAnsi="Times New Roman"/>
                <w:sz w:val="20"/>
                <w:szCs w:val="20"/>
              </w:rPr>
              <w:t>Kod ten stosuje się w przypadku nałożenia ceł w ramach unii celnej zawartej z Andorą, San Marino i Turcją.</w:t>
            </w:r>
            <w:r w:rsidRPr="0008244B">
              <w:rPr>
                <w:rFonts w:ascii="Times New Roman" w:hAnsi="Times New Roman"/>
                <w:sz w:val="20"/>
                <w:szCs w:val="20"/>
              </w:rPr>
              <w:br/>
              <w:t xml:space="preserve">Potencjalnie stosowane są kompletne cła dodatkowe. </w:t>
            </w:r>
          </w:p>
        </w:tc>
        <w:tc>
          <w:tcPr>
            <w:tcW w:w="1374" w:type="dxa"/>
            <w:tcBorders>
              <w:bottom w:val="dotted" w:sz="6" w:space="0" w:color="auto"/>
            </w:tcBorders>
            <w:shd w:val="clear" w:color="auto" w:fill="auto"/>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651, 652</w:t>
            </w:r>
          </w:p>
        </w:tc>
        <w:tc>
          <w:tcPr>
            <w:tcW w:w="1080" w:type="dxa"/>
            <w:tcBorders>
              <w:bottom w:val="dotted" w:sz="6" w:space="0" w:color="auto"/>
            </w:tcBorders>
            <w:shd w:val="clear" w:color="auto" w:fill="auto"/>
          </w:tcPr>
          <w:p w:rsidR="0073065F" w:rsidRPr="0008244B" w:rsidRDefault="0073065F" w:rsidP="00401018">
            <w:pPr>
              <w:spacing w:before="30" w:after="30"/>
              <w:jc w:val="center"/>
              <w:rPr>
                <w:rFonts w:ascii="Times New Roman" w:hAnsi="Times New Roman"/>
                <w:b/>
                <w:sz w:val="20"/>
                <w:szCs w:val="20"/>
              </w:rPr>
            </w:pPr>
          </w:p>
        </w:tc>
        <w:tc>
          <w:tcPr>
            <w:tcW w:w="1260" w:type="dxa"/>
            <w:tcBorders>
              <w:bottom w:val="dotted" w:sz="6" w:space="0" w:color="auto"/>
            </w:tcBorders>
            <w:shd w:val="clear" w:color="auto" w:fill="auto"/>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400</w:t>
            </w:r>
          </w:p>
        </w:tc>
        <w:tc>
          <w:tcPr>
            <w:tcW w:w="4602" w:type="dxa"/>
            <w:tcBorders>
              <w:bottom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Unia celna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Środki te mogą zwalniać, nawet częściowo, z kompletnych ceł dodatkowych.</w:t>
            </w:r>
          </w:p>
        </w:tc>
        <w:tc>
          <w:tcPr>
            <w:tcW w:w="1374"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657, 658</w:t>
            </w:r>
          </w:p>
        </w:tc>
        <w:tc>
          <w:tcPr>
            <w:tcW w:w="108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CUN</w:t>
            </w:r>
          </w:p>
        </w:tc>
        <w:tc>
          <w:tcPr>
            <w:tcW w:w="1260" w:type="dxa"/>
            <w:tcBorders>
              <w:bottom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420</w:t>
            </w:r>
          </w:p>
        </w:tc>
        <w:tc>
          <w:tcPr>
            <w:tcW w:w="4602"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Kontyngent unii celnej</w:t>
            </w:r>
          </w:p>
          <w:p w:rsidR="0073065F" w:rsidRPr="0008244B" w:rsidRDefault="0073065F" w:rsidP="00401018">
            <w:pPr>
              <w:spacing w:before="30" w:after="30"/>
              <w:rPr>
                <w:rFonts w:ascii="Times New Roman" w:hAnsi="Times New Roman"/>
                <w:b/>
                <w:sz w:val="20"/>
                <w:szCs w:val="20"/>
              </w:rPr>
            </w:pPr>
          </w:p>
        </w:tc>
        <w:tc>
          <w:tcPr>
            <w:tcW w:w="1374"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147</w:t>
            </w:r>
          </w:p>
        </w:tc>
        <w:tc>
          <w:tcPr>
            <w:tcW w:w="1080"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jc w:val="center"/>
              <w:rPr>
                <w:rFonts w:ascii="Times New Roman" w:hAnsi="Times New Roman"/>
                <w:b/>
                <w:sz w:val="20"/>
                <w:szCs w:val="20"/>
              </w:rPr>
            </w:pPr>
          </w:p>
        </w:tc>
        <w:tc>
          <w:tcPr>
            <w:tcW w:w="1260"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r w:rsidR="0073065F" w:rsidRPr="0008244B" w:rsidTr="00401018">
        <w:tc>
          <w:tcPr>
            <w:tcW w:w="864"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420</w:t>
            </w:r>
          </w:p>
        </w:tc>
        <w:tc>
          <w:tcPr>
            <w:tcW w:w="4602"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rPr>
                <w:rFonts w:ascii="Times New Roman" w:hAnsi="Times New Roman"/>
                <w:b/>
                <w:sz w:val="20"/>
                <w:szCs w:val="20"/>
              </w:rPr>
            </w:pPr>
            <w:r w:rsidRPr="0008244B">
              <w:rPr>
                <w:rFonts w:ascii="Times New Roman" w:hAnsi="Times New Roman"/>
                <w:b/>
                <w:sz w:val="20"/>
                <w:szCs w:val="20"/>
              </w:rPr>
              <w:t xml:space="preserve">Kontyngent unii celnej </w:t>
            </w:r>
          </w:p>
          <w:p w:rsidR="0073065F" w:rsidRPr="0008244B" w:rsidRDefault="0073065F" w:rsidP="00401018">
            <w:pPr>
              <w:spacing w:before="30" w:after="30"/>
              <w:rPr>
                <w:rFonts w:ascii="Times New Roman" w:hAnsi="Times New Roman"/>
                <w:sz w:val="20"/>
                <w:szCs w:val="20"/>
              </w:rPr>
            </w:pPr>
            <w:r w:rsidRPr="0008244B">
              <w:rPr>
                <w:rFonts w:ascii="Times New Roman" w:hAnsi="Times New Roman"/>
                <w:sz w:val="20"/>
                <w:szCs w:val="20"/>
              </w:rPr>
              <w:t xml:space="preserve">Kontyngenty te mogą zwalniać, nawet częściowo, z kompletnych ceł dodatkowych. </w:t>
            </w:r>
          </w:p>
          <w:p w:rsidR="0073065F" w:rsidRPr="0008244B" w:rsidRDefault="0073065F" w:rsidP="00401018">
            <w:pPr>
              <w:spacing w:before="30" w:after="30"/>
              <w:rPr>
                <w:rFonts w:ascii="Times New Roman" w:hAnsi="Times New Roman"/>
                <w:b/>
                <w:sz w:val="20"/>
                <w:szCs w:val="20"/>
              </w:rPr>
            </w:pPr>
            <w:r w:rsidRPr="0008244B">
              <w:rPr>
                <w:rFonts w:ascii="Times New Roman" w:hAnsi="Times New Roman"/>
                <w:sz w:val="20"/>
                <w:szCs w:val="20"/>
              </w:rPr>
              <w:t>Kod ten jest używany w odniesieniu do kontyngentu taryfowego zgodnie z postanowieniami umów o unii celnej, np. Rozporządzeniem Komisji (WE) nr 816/2007.</w:t>
            </w:r>
          </w:p>
        </w:tc>
        <w:tc>
          <w:tcPr>
            <w:tcW w:w="1374"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653, 654</w:t>
            </w:r>
          </w:p>
        </w:tc>
        <w:tc>
          <w:tcPr>
            <w:tcW w:w="1080"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jc w:val="center"/>
              <w:rPr>
                <w:rFonts w:ascii="Times New Roman" w:hAnsi="Times New Roman"/>
                <w:b/>
                <w:sz w:val="20"/>
                <w:szCs w:val="20"/>
              </w:rPr>
            </w:pPr>
            <w:r w:rsidRPr="0008244B">
              <w:rPr>
                <w:rFonts w:ascii="Times New Roman" w:hAnsi="Times New Roman"/>
                <w:b/>
                <w:sz w:val="20"/>
                <w:szCs w:val="20"/>
              </w:rPr>
              <w:t>CUN</w:t>
            </w:r>
          </w:p>
        </w:tc>
        <w:tc>
          <w:tcPr>
            <w:tcW w:w="1260" w:type="dxa"/>
            <w:tcBorders>
              <w:top w:val="dotted" w:sz="6" w:space="0" w:color="auto"/>
              <w:left w:val="dotted" w:sz="6" w:space="0" w:color="auto"/>
              <w:bottom w:val="dotted" w:sz="6" w:space="0" w:color="auto"/>
              <w:right w:val="dotted" w:sz="6" w:space="0" w:color="auto"/>
            </w:tcBorders>
          </w:tcPr>
          <w:p w:rsidR="0073065F" w:rsidRPr="0008244B" w:rsidRDefault="0073065F" w:rsidP="00401018">
            <w:pPr>
              <w:spacing w:before="30" w:after="30"/>
              <w:jc w:val="center"/>
              <w:rPr>
                <w:rFonts w:ascii="Times New Roman" w:hAnsi="Times New Roman"/>
                <w:b/>
                <w:sz w:val="20"/>
                <w:szCs w:val="20"/>
              </w:rPr>
            </w:pPr>
          </w:p>
        </w:tc>
      </w:tr>
    </w:tbl>
    <w:p w:rsidR="0073065F" w:rsidRPr="0008244B" w:rsidRDefault="0073065F" w:rsidP="0073065F">
      <w:pPr>
        <w:spacing w:before="240"/>
        <w:jc w:val="both"/>
        <w:rPr>
          <w:rFonts w:ascii="Times New Roman" w:hAnsi="Times New Roman"/>
          <w:b/>
          <w:sz w:val="20"/>
          <w:szCs w:val="20"/>
        </w:rPr>
      </w:pPr>
    </w:p>
    <w:p w:rsidR="0073065F" w:rsidRPr="0008244B" w:rsidRDefault="0073065F" w:rsidP="0073065F">
      <w:pPr>
        <w:spacing w:before="240"/>
        <w:jc w:val="both"/>
        <w:rPr>
          <w:rFonts w:ascii="Times New Roman" w:hAnsi="Times New Roman"/>
          <w:b/>
          <w:sz w:val="20"/>
          <w:szCs w:val="20"/>
        </w:rPr>
      </w:pPr>
    </w:p>
    <w:p w:rsidR="0073065F" w:rsidRDefault="0073065F" w:rsidP="0073065F">
      <w:pPr>
        <w:spacing w:before="240"/>
        <w:jc w:val="both"/>
        <w:rPr>
          <w:rFonts w:ascii="Times New Roman" w:hAnsi="Times New Roman"/>
          <w:b/>
        </w:rPr>
      </w:pPr>
      <w:r>
        <w:rPr>
          <w:rFonts w:ascii="Times New Roman" w:hAnsi="Times New Roman"/>
          <w:b/>
        </w:rPr>
        <w:t>3) w opisie pola 37,:</w:t>
      </w:r>
    </w:p>
    <w:p w:rsidR="0073065F" w:rsidRDefault="0073065F" w:rsidP="0073065F">
      <w:pPr>
        <w:spacing w:before="240"/>
        <w:ind w:left="720"/>
        <w:jc w:val="both"/>
        <w:rPr>
          <w:rFonts w:ascii="Times New Roman" w:hAnsi="Times New Roman"/>
          <w:b/>
        </w:rPr>
      </w:pPr>
      <w:r>
        <w:rPr>
          <w:rFonts w:ascii="Times New Roman" w:hAnsi="Times New Roman"/>
          <w:b/>
        </w:rPr>
        <w:t>a) w Sekcji A po opisie kodu „92” wprowadza się tabelę zawierającą wykaz dopuszczalnych zestawień kodów procedur:</w:t>
      </w:r>
    </w:p>
    <w:p w:rsidR="0073065F" w:rsidRDefault="0073065F" w:rsidP="0073065F">
      <w:pPr>
        <w:spacing w:before="240"/>
        <w:jc w:val="both"/>
        <w:rPr>
          <w:rFonts w:ascii="Times New Roman" w:hAnsi="Times New Roman"/>
          <w:b/>
        </w:rPr>
      </w:pPr>
    </w:p>
    <w:p w:rsidR="0073065F" w:rsidRPr="003F45A7" w:rsidRDefault="0073065F" w:rsidP="0073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22222"/>
          <w:lang w:eastAsia="pl-PL"/>
        </w:rPr>
      </w:pPr>
      <w:r>
        <w:rPr>
          <w:rFonts w:ascii="Times New Roman" w:eastAsia="Times New Roman" w:hAnsi="Times New Roman"/>
          <w:b/>
          <w:color w:val="222222"/>
          <w:lang w:eastAsia="pl-PL"/>
        </w:rPr>
        <w:t>„</w:t>
      </w:r>
      <w:r w:rsidRPr="003F45A7">
        <w:rPr>
          <w:rFonts w:ascii="Times New Roman" w:eastAsia="Times New Roman" w:hAnsi="Times New Roman"/>
          <w:b/>
          <w:color w:val="222222"/>
          <w:lang w:eastAsia="pl-PL"/>
        </w:rPr>
        <w:t>Uwagi ogólne</w:t>
      </w:r>
    </w:p>
    <w:p w:rsidR="0073065F" w:rsidRPr="003F45A7" w:rsidRDefault="0073065F" w:rsidP="0073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eastAsia="pl-PL"/>
        </w:rPr>
      </w:pPr>
    </w:p>
    <w:p w:rsidR="0073065F" w:rsidRDefault="0073065F" w:rsidP="0073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eastAsia="pl-PL"/>
        </w:rPr>
      </w:pPr>
      <w:r>
        <w:rPr>
          <w:rFonts w:ascii="Times New Roman" w:eastAsia="Times New Roman" w:hAnsi="Times New Roman"/>
          <w:color w:val="222222"/>
          <w:lang w:eastAsia="pl-PL"/>
        </w:rPr>
        <w:t>Tabela obejmuje</w:t>
      </w:r>
      <w:r w:rsidRPr="003F45A7">
        <w:rPr>
          <w:rFonts w:ascii="Times New Roman" w:eastAsia="Times New Roman" w:hAnsi="Times New Roman"/>
          <w:color w:val="222222"/>
          <w:lang w:eastAsia="pl-PL"/>
        </w:rPr>
        <w:t xml:space="preserve"> wszystkie kombinacje kodów procedur, które są </w:t>
      </w:r>
      <w:r>
        <w:rPr>
          <w:rFonts w:ascii="Times New Roman" w:eastAsia="Times New Roman" w:hAnsi="Times New Roman"/>
          <w:color w:val="222222"/>
          <w:lang w:eastAsia="pl-PL"/>
        </w:rPr>
        <w:t>obecnie możliwe w zgłoszeniach składanych do polskich organów celnych.</w:t>
      </w:r>
    </w:p>
    <w:p w:rsidR="0073065F" w:rsidRDefault="0073065F" w:rsidP="0073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eastAsia="pl-PL"/>
        </w:rPr>
      </w:pPr>
    </w:p>
    <w:p w:rsidR="0073065F" w:rsidRPr="003F45A7" w:rsidRDefault="0073065F" w:rsidP="0073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22222"/>
          <w:lang w:eastAsia="pl-PL"/>
        </w:rPr>
      </w:pPr>
      <w:r w:rsidRPr="003F45A7">
        <w:rPr>
          <w:rFonts w:ascii="Times New Roman" w:eastAsia="Times New Roman" w:hAnsi="Times New Roman"/>
          <w:b/>
          <w:color w:val="222222"/>
          <w:lang w:eastAsia="pl-PL"/>
        </w:rPr>
        <w:t xml:space="preserve">Zastosowanie </w:t>
      </w:r>
      <w:r>
        <w:rPr>
          <w:rFonts w:ascii="Times New Roman" w:eastAsia="Times New Roman" w:hAnsi="Times New Roman"/>
          <w:b/>
          <w:color w:val="222222"/>
          <w:lang w:eastAsia="pl-PL"/>
        </w:rPr>
        <w:t>kodów 10, 40, 42 i</w:t>
      </w:r>
      <w:r w:rsidRPr="003F45A7">
        <w:rPr>
          <w:rFonts w:ascii="Times New Roman" w:eastAsia="Times New Roman" w:hAnsi="Times New Roman"/>
          <w:b/>
          <w:color w:val="222222"/>
          <w:lang w:eastAsia="pl-PL"/>
        </w:rPr>
        <w:t xml:space="preserve"> 45</w:t>
      </w:r>
      <w:r w:rsidRPr="00CE1EE0">
        <w:rPr>
          <w:rFonts w:ascii="Times New Roman" w:eastAsia="Times New Roman" w:hAnsi="Times New Roman"/>
          <w:b/>
          <w:color w:val="222222"/>
          <w:lang w:eastAsia="pl-PL"/>
        </w:rPr>
        <w:t xml:space="preserve"> </w:t>
      </w:r>
      <w:r>
        <w:rPr>
          <w:rFonts w:ascii="Times New Roman" w:eastAsia="Times New Roman" w:hAnsi="Times New Roman"/>
          <w:b/>
          <w:color w:val="222222"/>
          <w:lang w:eastAsia="pl-PL"/>
        </w:rPr>
        <w:t xml:space="preserve">jako kodów </w:t>
      </w:r>
      <w:r w:rsidRPr="003F45A7">
        <w:rPr>
          <w:rFonts w:ascii="Times New Roman" w:eastAsia="Times New Roman" w:hAnsi="Times New Roman"/>
          <w:b/>
          <w:color w:val="222222"/>
          <w:lang w:eastAsia="pl-PL"/>
        </w:rPr>
        <w:t>poprzedniej procedury:</w:t>
      </w:r>
    </w:p>
    <w:p w:rsidR="0073065F" w:rsidRPr="00CE1EE0" w:rsidRDefault="0073065F" w:rsidP="0073065F">
      <w:pPr>
        <w:pStyle w:val="Akapitzlis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eastAsia="pl-PL"/>
        </w:rPr>
      </w:pPr>
      <w:r>
        <w:rPr>
          <w:rFonts w:ascii="Times New Roman" w:eastAsia="Times New Roman" w:hAnsi="Times New Roman"/>
          <w:color w:val="222222"/>
          <w:lang w:eastAsia="pl-PL"/>
        </w:rPr>
        <w:t>k</w:t>
      </w:r>
      <w:r w:rsidRPr="00CE1EE0">
        <w:rPr>
          <w:rFonts w:ascii="Times New Roman" w:eastAsia="Times New Roman" w:hAnsi="Times New Roman"/>
          <w:color w:val="222222"/>
          <w:lang w:eastAsia="pl-PL"/>
        </w:rPr>
        <w:t>od procedury 10 nie musi być podawany jako poprzednia procedura, gdy towary, które zostały wcześniej wywiezione z kodem procedury 10, są zwracane do UE. Kod 10</w:t>
      </w:r>
      <w:r>
        <w:rPr>
          <w:rFonts w:ascii="Times New Roman" w:eastAsia="Times New Roman" w:hAnsi="Times New Roman"/>
          <w:color w:val="222222"/>
          <w:lang w:eastAsia="pl-PL"/>
        </w:rPr>
        <w:t xml:space="preserve"> jako procedura poprzednia</w:t>
      </w:r>
      <w:r w:rsidRPr="00CE1EE0">
        <w:rPr>
          <w:rFonts w:ascii="Times New Roman" w:eastAsia="Times New Roman" w:hAnsi="Times New Roman"/>
          <w:color w:val="222222"/>
          <w:lang w:eastAsia="pl-PL"/>
        </w:rPr>
        <w:t xml:space="preserve"> stosuje się tylko w przypadku art. 203 UKC dotyczącego towarów zwróconych (</w:t>
      </w:r>
      <w:r>
        <w:rPr>
          <w:rFonts w:ascii="Times New Roman" w:eastAsia="Times New Roman" w:hAnsi="Times New Roman"/>
          <w:color w:val="222222"/>
          <w:lang w:eastAsia="pl-PL"/>
        </w:rPr>
        <w:t>kombinacja kodu procedury 6110);</w:t>
      </w:r>
    </w:p>
    <w:p w:rsidR="0073065F" w:rsidRPr="003F45A7" w:rsidRDefault="0073065F" w:rsidP="00730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eastAsia="pl-PL"/>
        </w:rPr>
      </w:pPr>
    </w:p>
    <w:p w:rsidR="0073065F" w:rsidRPr="00CE1EE0" w:rsidRDefault="0073065F" w:rsidP="0073065F">
      <w:pPr>
        <w:pStyle w:val="Akapitzlist"/>
        <w:numPr>
          <w:ilvl w:val="0"/>
          <w:numId w:val="30"/>
        </w:numPr>
        <w:spacing w:after="200" w:line="276" w:lineRule="auto"/>
        <w:jc w:val="both"/>
        <w:rPr>
          <w:rFonts w:ascii="Times New Roman" w:eastAsia="Times New Roman" w:hAnsi="Times New Roman"/>
          <w:color w:val="222222"/>
          <w:lang w:eastAsia="pl-PL"/>
        </w:rPr>
      </w:pPr>
      <w:r>
        <w:rPr>
          <w:rFonts w:ascii="Times New Roman" w:eastAsia="Times New Roman" w:hAnsi="Times New Roman"/>
          <w:color w:val="222222"/>
          <w:lang w:eastAsia="pl-PL"/>
        </w:rPr>
        <w:t>k</w:t>
      </w:r>
      <w:r w:rsidRPr="00CE1EE0">
        <w:rPr>
          <w:rFonts w:ascii="Times New Roman" w:eastAsia="Times New Roman" w:hAnsi="Times New Roman"/>
          <w:color w:val="222222"/>
          <w:lang w:eastAsia="pl-PL"/>
        </w:rPr>
        <w:t xml:space="preserve">ody procedur 40, 42, 45 jako </w:t>
      </w:r>
      <w:r>
        <w:rPr>
          <w:rFonts w:ascii="Times New Roman" w:eastAsia="Times New Roman" w:hAnsi="Times New Roman"/>
          <w:color w:val="222222"/>
          <w:lang w:eastAsia="pl-PL"/>
        </w:rPr>
        <w:t xml:space="preserve">kody </w:t>
      </w:r>
      <w:r w:rsidRPr="00CE1EE0">
        <w:rPr>
          <w:rFonts w:ascii="Times New Roman" w:eastAsia="Times New Roman" w:hAnsi="Times New Roman"/>
          <w:color w:val="222222"/>
          <w:lang w:eastAsia="pl-PL"/>
        </w:rPr>
        <w:t>procedur poprzedni</w:t>
      </w:r>
      <w:r>
        <w:rPr>
          <w:rFonts w:ascii="Times New Roman" w:eastAsia="Times New Roman" w:hAnsi="Times New Roman"/>
          <w:color w:val="222222"/>
          <w:lang w:eastAsia="pl-PL"/>
        </w:rPr>
        <w:t>ch</w:t>
      </w:r>
      <w:r w:rsidRPr="00CE1EE0">
        <w:rPr>
          <w:rFonts w:ascii="Times New Roman" w:eastAsia="Times New Roman" w:hAnsi="Times New Roman"/>
          <w:color w:val="222222"/>
          <w:lang w:eastAsia="pl-PL"/>
        </w:rPr>
        <w:t xml:space="preserve"> są </w:t>
      </w:r>
      <w:r>
        <w:rPr>
          <w:rFonts w:ascii="Times New Roman" w:eastAsia="Times New Roman" w:hAnsi="Times New Roman"/>
          <w:color w:val="222222"/>
          <w:lang w:eastAsia="pl-PL"/>
        </w:rPr>
        <w:t>stosowane</w:t>
      </w:r>
      <w:r w:rsidRPr="00CE1EE0">
        <w:rPr>
          <w:rFonts w:ascii="Times New Roman" w:eastAsia="Times New Roman" w:hAnsi="Times New Roman"/>
          <w:color w:val="222222"/>
          <w:lang w:eastAsia="pl-PL"/>
        </w:rPr>
        <w:t xml:space="preserve"> do wskazania poprzedniej procedury </w:t>
      </w:r>
      <w:r>
        <w:rPr>
          <w:rFonts w:ascii="Times New Roman" w:eastAsia="Times New Roman" w:hAnsi="Times New Roman"/>
          <w:color w:val="222222"/>
          <w:lang w:eastAsia="pl-PL"/>
        </w:rPr>
        <w:t xml:space="preserve">tylko </w:t>
      </w:r>
      <w:r w:rsidRPr="00CE1EE0">
        <w:rPr>
          <w:rFonts w:ascii="Times New Roman" w:eastAsia="Times New Roman" w:hAnsi="Times New Roman"/>
          <w:color w:val="222222"/>
          <w:lang w:eastAsia="pl-PL"/>
        </w:rPr>
        <w:t>w wyjątkowych okolicznościach. W przypadku wywozu towarów, które zostały przywiezione zgodnie z procedurami 40</w:t>
      </w:r>
      <w:r>
        <w:rPr>
          <w:rFonts w:ascii="Times New Roman" w:eastAsia="Times New Roman" w:hAnsi="Times New Roman"/>
          <w:color w:val="222222"/>
          <w:lang w:eastAsia="pl-PL"/>
        </w:rPr>
        <w:t xml:space="preserve">, 42 lub 45, właściwym </w:t>
      </w:r>
      <w:r w:rsidRPr="00CE1EE0">
        <w:rPr>
          <w:rFonts w:ascii="Times New Roman" w:eastAsia="Times New Roman" w:hAnsi="Times New Roman"/>
          <w:color w:val="222222"/>
          <w:lang w:eastAsia="pl-PL"/>
        </w:rPr>
        <w:lastRenderedPageBreak/>
        <w:t>kodem jest 1000. Kody 40, 42 i 45 jako oznaczenie poprzedniej procedury stosuje się wyłącznie w przypadku art. 118 UKC</w:t>
      </w:r>
      <w:r>
        <w:rPr>
          <w:rFonts w:ascii="Times New Roman" w:eastAsia="Times New Roman" w:hAnsi="Times New Roman"/>
          <w:color w:val="222222"/>
          <w:lang w:eastAsia="pl-PL"/>
        </w:rPr>
        <w:t>.</w:t>
      </w:r>
    </w:p>
    <w:p w:rsidR="0073065F" w:rsidRPr="00C07311" w:rsidRDefault="0073065F" w:rsidP="0073065F">
      <w:pPr>
        <w:spacing w:before="240"/>
        <w:jc w:val="both"/>
        <w:rPr>
          <w:rFonts w:ascii="Times New Roman" w:hAnsi="Times New Roman"/>
          <w:b/>
        </w:rPr>
      </w:pPr>
    </w:p>
    <w:tbl>
      <w:tblPr>
        <w:tblStyle w:val="Tabela-Siatka"/>
        <w:tblW w:w="0" w:type="auto"/>
        <w:tblLook w:val="04A0" w:firstRow="1" w:lastRow="0" w:firstColumn="1" w:lastColumn="0" w:noHBand="0" w:noVBand="1"/>
      </w:tblPr>
      <w:tblGrid>
        <w:gridCol w:w="536"/>
        <w:gridCol w:w="8752"/>
      </w:tblGrid>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b/>
                <w:bCs/>
              </w:rPr>
              <w:t>10:</w:t>
            </w:r>
          </w:p>
        </w:tc>
        <w:tc>
          <w:tcPr>
            <w:tcW w:w="8820" w:type="dxa"/>
          </w:tcPr>
          <w:p w:rsidR="0073065F" w:rsidRPr="00C07311" w:rsidRDefault="0073065F" w:rsidP="00401018">
            <w:pPr>
              <w:rPr>
                <w:rFonts w:ascii="Times New Roman" w:hAnsi="Times New Roman"/>
              </w:rPr>
            </w:pPr>
            <w:r w:rsidRPr="00C07311">
              <w:rPr>
                <w:rFonts w:ascii="Times New Roman" w:hAnsi="Times New Roman"/>
              </w:rPr>
              <w:t>1000, 1040, 1041, 1042, 1045, 1076, 1077,</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11:</w:t>
            </w:r>
          </w:p>
        </w:tc>
        <w:tc>
          <w:tcPr>
            <w:tcW w:w="8820" w:type="dxa"/>
          </w:tcPr>
          <w:p w:rsidR="0073065F" w:rsidRPr="00C07311" w:rsidRDefault="0073065F" w:rsidP="00401018">
            <w:pPr>
              <w:rPr>
                <w:rFonts w:ascii="Times New Roman" w:hAnsi="Times New Roman"/>
              </w:rPr>
            </w:pPr>
            <w:r w:rsidRPr="00C07311">
              <w:rPr>
                <w:rFonts w:ascii="Times New Roman" w:hAnsi="Times New Roman"/>
              </w:rPr>
              <w:t>1100,</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21:</w:t>
            </w:r>
          </w:p>
        </w:tc>
        <w:tc>
          <w:tcPr>
            <w:tcW w:w="8820" w:type="dxa"/>
          </w:tcPr>
          <w:p w:rsidR="0073065F" w:rsidRPr="00C07311" w:rsidRDefault="0073065F" w:rsidP="00401018">
            <w:pPr>
              <w:rPr>
                <w:rFonts w:ascii="Times New Roman" w:hAnsi="Times New Roman"/>
              </w:rPr>
            </w:pPr>
            <w:r w:rsidRPr="00C07311">
              <w:rPr>
                <w:rFonts w:ascii="Times New Roman" w:hAnsi="Times New Roman"/>
              </w:rPr>
              <w:t>2100, 2141, 2148, 2151, 2154, 2140 (tylko z N990),</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22:</w:t>
            </w:r>
          </w:p>
        </w:tc>
        <w:tc>
          <w:tcPr>
            <w:tcW w:w="8820" w:type="dxa"/>
          </w:tcPr>
          <w:p w:rsidR="0073065F" w:rsidRPr="00C07311" w:rsidRDefault="0073065F" w:rsidP="00401018">
            <w:pPr>
              <w:rPr>
                <w:rFonts w:ascii="Times New Roman" w:hAnsi="Times New Roman"/>
              </w:rPr>
            </w:pPr>
            <w:r w:rsidRPr="00C07311">
              <w:rPr>
                <w:rFonts w:ascii="Times New Roman" w:hAnsi="Times New Roman"/>
              </w:rPr>
              <w:t>2200, 2240 (tylko z N990),</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23:</w:t>
            </w:r>
          </w:p>
        </w:tc>
        <w:tc>
          <w:tcPr>
            <w:tcW w:w="8820" w:type="dxa"/>
          </w:tcPr>
          <w:p w:rsidR="0073065F" w:rsidRPr="00C07311" w:rsidRDefault="0073065F" w:rsidP="00401018">
            <w:pPr>
              <w:rPr>
                <w:rFonts w:ascii="Times New Roman" w:hAnsi="Times New Roman"/>
              </w:rPr>
            </w:pPr>
            <w:r w:rsidRPr="00C07311">
              <w:rPr>
                <w:rFonts w:ascii="Times New Roman" w:hAnsi="Times New Roman"/>
              </w:rPr>
              <w:t>2300,</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31:</w:t>
            </w:r>
          </w:p>
        </w:tc>
        <w:tc>
          <w:tcPr>
            <w:tcW w:w="8820" w:type="dxa"/>
          </w:tcPr>
          <w:p w:rsidR="0073065F" w:rsidRPr="00C07311" w:rsidRDefault="0073065F" w:rsidP="00401018">
            <w:pPr>
              <w:rPr>
                <w:rFonts w:ascii="Times New Roman" w:hAnsi="Times New Roman"/>
              </w:rPr>
            </w:pPr>
            <w:r w:rsidRPr="00C07311">
              <w:rPr>
                <w:rFonts w:ascii="Times New Roman" w:hAnsi="Times New Roman"/>
              </w:rPr>
              <w:t>3151, 3153, 3154, 3171, 3178, 3191, 3192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40:</w:t>
            </w:r>
          </w:p>
        </w:tc>
        <w:tc>
          <w:tcPr>
            <w:tcW w:w="8820" w:type="dxa"/>
          </w:tcPr>
          <w:p w:rsidR="0073065F" w:rsidRPr="00C07311" w:rsidRDefault="0073065F" w:rsidP="00401018">
            <w:pPr>
              <w:rPr>
                <w:rFonts w:ascii="Times New Roman" w:hAnsi="Times New Roman"/>
              </w:rPr>
            </w:pPr>
            <w:r w:rsidRPr="00C07311">
              <w:rPr>
                <w:rFonts w:ascii="Times New Roman" w:hAnsi="Times New Roman"/>
              </w:rPr>
              <w:t>4000, 4051, 4053, 4054, 4071, 4078, 4091, 4092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42:</w:t>
            </w:r>
          </w:p>
        </w:tc>
        <w:tc>
          <w:tcPr>
            <w:tcW w:w="8820" w:type="dxa"/>
          </w:tcPr>
          <w:p w:rsidR="0073065F" w:rsidRPr="00C07311" w:rsidRDefault="0073065F" w:rsidP="00401018">
            <w:pPr>
              <w:rPr>
                <w:rFonts w:ascii="Times New Roman" w:hAnsi="Times New Roman"/>
              </w:rPr>
            </w:pPr>
            <w:r w:rsidRPr="00C07311">
              <w:rPr>
                <w:rFonts w:ascii="Times New Roman" w:hAnsi="Times New Roman"/>
              </w:rPr>
              <w:t>4200, 4251, 4253, 4254, 4271, 4278, 4291, 4292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45:</w:t>
            </w:r>
          </w:p>
        </w:tc>
        <w:tc>
          <w:tcPr>
            <w:tcW w:w="8820" w:type="dxa"/>
          </w:tcPr>
          <w:p w:rsidR="0073065F" w:rsidRPr="00C07311" w:rsidRDefault="0073065F" w:rsidP="00401018">
            <w:pPr>
              <w:rPr>
                <w:rFonts w:ascii="Times New Roman" w:hAnsi="Times New Roman"/>
              </w:rPr>
            </w:pPr>
            <w:r w:rsidRPr="00C07311">
              <w:rPr>
                <w:rFonts w:ascii="Times New Roman" w:hAnsi="Times New Roman"/>
              </w:rPr>
              <w:t>4500, 4551, 4553, 4554, 4571, 4578, 4591, 4592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48:</w:t>
            </w:r>
          </w:p>
        </w:tc>
        <w:tc>
          <w:tcPr>
            <w:tcW w:w="8820" w:type="dxa"/>
          </w:tcPr>
          <w:p w:rsidR="0073065F" w:rsidRPr="00C07311" w:rsidRDefault="0073065F" w:rsidP="00401018">
            <w:pPr>
              <w:rPr>
                <w:rFonts w:ascii="Times New Roman" w:hAnsi="Times New Roman"/>
              </w:rPr>
            </w:pPr>
            <w:r w:rsidRPr="00C07311">
              <w:rPr>
                <w:rFonts w:ascii="Times New Roman" w:hAnsi="Times New Roman"/>
              </w:rPr>
              <w:t>4800, 4851, 4853, 4854, 4871, 4878</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51:</w:t>
            </w:r>
          </w:p>
        </w:tc>
        <w:tc>
          <w:tcPr>
            <w:tcW w:w="8820" w:type="dxa"/>
          </w:tcPr>
          <w:p w:rsidR="0073065F" w:rsidRPr="00C07311" w:rsidRDefault="0073065F" w:rsidP="00401018">
            <w:pPr>
              <w:rPr>
                <w:rFonts w:ascii="Times New Roman" w:hAnsi="Times New Roman"/>
              </w:rPr>
            </w:pPr>
            <w:r w:rsidRPr="00C07311">
              <w:rPr>
                <w:rFonts w:ascii="Times New Roman" w:hAnsi="Times New Roman"/>
              </w:rPr>
              <w:t>5100, 5111, 5121, 5141, 5151, 5153, 5154, 5171, 5178, 5191, 5192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53:</w:t>
            </w:r>
          </w:p>
        </w:tc>
        <w:tc>
          <w:tcPr>
            <w:tcW w:w="8820" w:type="dxa"/>
          </w:tcPr>
          <w:p w:rsidR="0073065F" w:rsidRPr="00C07311" w:rsidRDefault="0073065F" w:rsidP="00401018">
            <w:pPr>
              <w:rPr>
                <w:rFonts w:ascii="Times New Roman" w:hAnsi="Times New Roman"/>
              </w:rPr>
            </w:pPr>
            <w:r w:rsidRPr="00C07311">
              <w:rPr>
                <w:rFonts w:ascii="Times New Roman" w:hAnsi="Times New Roman"/>
              </w:rPr>
              <w:t>5300, 5351, 5353, 5354, 5371, 5378, 5391, 5392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61:</w:t>
            </w:r>
          </w:p>
        </w:tc>
        <w:tc>
          <w:tcPr>
            <w:tcW w:w="8820" w:type="dxa"/>
          </w:tcPr>
          <w:p w:rsidR="0073065F" w:rsidRPr="00C07311" w:rsidRDefault="0073065F" w:rsidP="00401018">
            <w:pPr>
              <w:rPr>
                <w:rFonts w:ascii="Times New Roman" w:hAnsi="Times New Roman"/>
              </w:rPr>
            </w:pPr>
            <w:r w:rsidRPr="00C07311">
              <w:rPr>
                <w:rFonts w:ascii="Times New Roman" w:hAnsi="Times New Roman"/>
              </w:rPr>
              <w:t>6110, 6111, 6121, 6122, 6123, 6131,</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63:</w:t>
            </w:r>
          </w:p>
        </w:tc>
        <w:tc>
          <w:tcPr>
            <w:tcW w:w="8820" w:type="dxa"/>
          </w:tcPr>
          <w:p w:rsidR="0073065F" w:rsidRPr="00C07311" w:rsidRDefault="0073065F" w:rsidP="00401018">
            <w:pPr>
              <w:rPr>
                <w:rFonts w:ascii="Times New Roman" w:hAnsi="Times New Roman"/>
              </w:rPr>
            </w:pPr>
            <w:r w:rsidRPr="00C07311">
              <w:rPr>
                <w:rFonts w:ascii="Times New Roman" w:hAnsi="Times New Roman"/>
              </w:rPr>
              <w:t>6310, 6311, 6321, 6322, 6323, 6331,</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68:</w:t>
            </w:r>
          </w:p>
        </w:tc>
        <w:tc>
          <w:tcPr>
            <w:tcW w:w="8820" w:type="dxa"/>
          </w:tcPr>
          <w:p w:rsidR="0073065F" w:rsidRPr="00C07311" w:rsidRDefault="0073065F" w:rsidP="00401018">
            <w:pPr>
              <w:rPr>
                <w:rFonts w:ascii="Times New Roman" w:hAnsi="Times New Roman"/>
              </w:rPr>
            </w:pPr>
            <w:r w:rsidRPr="00C07311">
              <w:rPr>
                <w:rFonts w:ascii="Times New Roman" w:hAnsi="Times New Roman"/>
              </w:rPr>
              <w:t>6810, 6811, 6821, 6822, 6823, 6831,</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71:</w:t>
            </w:r>
          </w:p>
        </w:tc>
        <w:tc>
          <w:tcPr>
            <w:tcW w:w="8820" w:type="dxa"/>
          </w:tcPr>
          <w:p w:rsidR="0073065F" w:rsidRPr="00C07311" w:rsidRDefault="0073065F" w:rsidP="00401018">
            <w:pPr>
              <w:rPr>
                <w:rFonts w:ascii="Times New Roman" w:hAnsi="Times New Roman"/>
              </w:rPr>
            </w:pPr>
            <w:r w:rsidRPr="00C07311">
              <w:rPr>
                <w:rFonts w:ascii="Times New Roman" w:hAnsi="Times New Roman"/>
              </w:rPr>
              <w:t>7100, 7110, 7121, 7122, 7123, 7140 (tylko z N990), 7141, 7151, 7153, 7154, 7171, 7178, 7191, 7192</w:t>
            </w:r>
          </w:p>
        </w:tc>
      </w:tr>
      <w:tr w:rsidR="0073065F" w:rsidRPr="00C07311" w:rsidTr="00401018">
        <w:tc>
          <w:tcPr>
            <w:tcW w:w="392" w:type="dxa"/>
          </w:tcPr>
          <w:p w:rsidR="0073065F" w:rsidRPr="00C07311" w:rsidRDefault="0073065F" w:rsidP="00401018">
            <w:pPr>
              <w:rPr>
                <w:rFonts w:ascii="Times New Roman" w:hAnsi="Times New Roman"/>
              </w:rPr>
            </w:pPr>
            <w:r w:rsidRPr="00C07311">
              <w:rPr>
                <w:rFonts w:ascii="Times New Roman" w:hAnsi="Times New Roman"/>
              </w:rPr>
              <w:t>76:</w:t>
            </w:r>
          </w:p>
        </w:tc>
        <w:tc>
          <w:tcPr>
            <w:tcW w:w="8820" w:type="dxa"/>
          </w:tcPr>
          <w:p w:rsidR="0073065F" w:rsidRPr="00C07311" w:rsidRDefault="0073065F" w:rsidP="00C07311">
            <w:pPr>
              <w:tabs>
                <w:tab w:val="left" w:pos="2396"/>
              </w:tabs>
              <w:rPr>
                <w:rFonts w:ascii="Times New Roman" w:hAnsi="Times New Roman"/>
              </w:rPr>
            </w:pPr>
            <w:r w:rsidRPr="00C07311">
              <w:rPr>
                <w:rFonts w:ascii="Times New Roman" w:hAnsi="Times New Roman"/>
              </w:rPr>
              <w:t>7600,</w:t>
            </w:r>
            <w:r w:rsidR="00C07311" w:rsidRPr="00C07311">
              <w:rPr>
                <w:rFonts w:ascii="Times New Roman" w:hAnsi="Times New Roman"/>
              </w:rPr>
              <w:tab/>
            </w:r>
          </w:p>
        </w:tc>
      </w:tr>
    </w:tbl>
    <w:p w:rsidR="0073065F" w:rsidRDefault="0073065F" w:rsidP="0073065F">
      <w:pPr>
        <w:spacing w:before="240"/>
        <w:jc w:val="both"/>
        <w:rPr>
          <w:rFonts w:ascii="Times New Roman" w:hAnsi="Times New Roman"/>
          <w:b/>
        </w:rPr>
      </w:pPr>
    </w:p>
    <w:p w:rsidR="0073065F" w:rsidRDefault="0073065F" w:rsidP="0073065F">
      <w:pPr>
        <w:spacing w:before="240"/>
        <w:ind w:left="720"/>
        <w:jc w:val="both"/>
        <w:rPr>
          <w:rFonts w:ascii="Times New Roman" w:hAnsi="Times New Roman"/>
          <w:b/>
        </w:rPr>
      </w:pPr>
      <w:r>
        <w:rPr>
          <w:rFonts w:ascii="Times New Roman" w:hAnsi="Times New Roman"/>
          <w:b/>
        </w:rPr>
        <w:t xml:space="preserve">b) Sekcja B, w pkt 2 </w:t>
      </w:r>
      <w:r w:rsidRPr="00A31818">
        <w:rPr>
          <w:rFonts w:ascii="Times New Roman" w:hAnsi="Times New Roman"/>
        </w:rPr>
        <w:t>dotyczącym krajowych kodów uszczegóławiających procedurę,</w:t>
      </w:r>
      <w:r>
        <w:rPr>
          <w:rFonts w:ascii="Times New Roman" w:hAnsi="Times New Roman"/>
          <w:b/>
        </w:rPr>
        <w:t xml:space="preserve"> </w:t>
      </w:r>
      <w:r w:rsidRPr="00BE62B1">
        <w:rPr>
          <w:rFonts w:ascii="Times New Roman" w:hAnsi="Times New Roman"/>
        </w:rPr>
        <w:t xml:space="preserve">kody </w:t>
      </w:r>
      <w:r>
        <w:rPr>
          <w:rFonts w:ascii="Times New Roman" w:hAnsi="Times New Roman"/>
        </w:rPr>
        <w:t>„</w:t>
      </w:r>
      <w:r w:rsidRPr="00BE62B1">
        <w:rPr>
          <w:rFonts w:ascii="Times New Roman" w:hAnsi="Times New Roman"/>
        </w:rPr>
        <w:t>1H2</w:t>
      </w:r>
      <w:r>
        <w:rPr>
          <w:rFonts w:ascii="Times New Roman" w:hAnsi="Times New Roman"/>
        </w:rPr>
        <w:t>”</w:t>
      </w:r>
      <w:r w:rsidRPr="00BE62B1">
        <w:rPr>
          <w:rFonts w:ascii="Times New Roman" w:hAnsi="Times New Roman"/>
        </w:rPr>
        <w:t xml:space="preserve"> i </w:t>
      </w:r>
      <w:r>
        <w:rPr>
          <w:rFonts w:ascii="Times New Roman" w:hAnsi="Times New Roman"/>
        </w:rPr>
        <w:t>„</w:t>
      </w:r>
      <w:r w:rsidRPr="00BE62B1">
        <w:rPr>
          <w:rFonts w:ascii="Times New Roman" w:hAnsi="Times New Roman"/>
        </w:rPr>
        <w:t>1H3</w:t>
      </w:r>
      <w:r>
        <w:rPr>
          <w:rFonts w:ascii="Times New Roman" w:hAnsi="Times New Roman"/>
        </w:rPr>
        <w:t>”</w:t>
      </w:r>
      <w:r w:rsidRPr="00BE62B1">
        <w:rPr>
          <w:rFonts w:ascii="Times New Roman" w:hAnsi="Times New Roman"/>
        </w:rPr>
        <w:t xml:space="preserve"> </w:t>
      </w:r>
      <w:r>
        <w:rPr>
          <w:rFonts w:ascii="Times New Roman" w:hAnsi="Times New Roman"/>
        </w:rPr>
        <w:t xml:space="preserve">(str. 151) </w:t>
      </w:r>
      <w:r w:rsidRPr="00BE62B1">
        <w:rPr>
          <w:rFonts w:ascii="Times New Roman" w:hAnsi="Times New Roman"/>
        </w:rPr>
        <w:t>otrzymują następujące brzmienie</w:t>
      </w:r>
      <w:r>
        <w:rPr>
          <w:rFonts w:ascii="Times New Roman" w:hAnsi="Times New Roman"/>
        </w:rPr>
        <w:t xml:space="preserve"> (zmiany wyboldowane)</w:t>
      </w:r>
      <w:r w:rsidRPr="00BE62B1">
        <w:rPr>
          <w:rFonts w:ascii="Times New Roman" w:hAnsi="Times New Roman"/>
        </w:rPr>
        <w:t>:</w:t>
      </w:r>
    </w:p>
    <w:p w:rsidR="0073065F" w:rsidRDefault="0073065F" w:rsidP="0073065F">
      <w:pPr>
        <w:spacing w:before="240"/>
        <w:jc w:val="both"/>
        <w:rPr>
          <w:rFonts w:ascii="Times New Roman" w:hAnsi="Times New Roman"/>
        </w:rPr>
      </w:pPr>
    </w:p>
    <w:p w:rsidR="0073065F" w:rsidRPr="00086679" w:rsidRDefault="0073065F" w:rsidP="0073065F">
      <w:pPr>
        <w:spacing w:after="120" w:line="264" w:lineRule="auto"/>
        <w:ind w:right="26"/>
        <w:jc w:val="both"/>
        <w:rPr>
          <w:rFonts w:ascii="Times New Roman" w:hAnsi="Times New Roman"/>
        </w:rPr>
      </w:pPr>
      <w:r>
        <w:rPr>
          <w:rFonts w:ascii="Times New Roman" w:hAnsi="Times New Roman"/>
          <w:b/>
        </w:rPr>
        <w:t>„</w:t>
      </w:r>
      <w:r w:rsidRPr="00086679">
        <w:rPr>
          <w:rFonts w:ascii="Times New Roman" w:hAnsi="Times New Roman"/>
          <w:b/>
        </w:rPr>
        <w:t>1H2</w:t>
      </w:r>
      <w:r w:rsidRPr="00086679">
        <w:rPr>
          <w:rFonts w:ascii="Times New Roman" w:hAnsi="Times New Roman"/>
        </w:rPr>
        <w:t xml:space="preserve"> – towary klasyfikowane według różnych kodów taryfy celnej zgłoszone jako jedna pozycja towarowa:</w:t>
      </w:r>
    </w:p>
    <w:p w:rsidR="0073065F" w:rsidRPr="00086679" w:rsidRDefault="0073065F" w:rsidP="0073065F">
      <w:pPr>
        <w:numPr>
          <w:ilvl w:val="0"/>
          <w:numId w:val="27"/>
        </w:numPr>
        <w:spacing w:after="120" w:line="264" w:lineRule="auto"/>
        <w:ind w:right="26"/>
        <w:jc w:val="both"/>
        <w:rPr>
          <w:rFonts w:ascii="Times New Roman" w:hAnsi="Times New Roman"/>
        </w:rPr>
      </w:pPr>
      <w:r w:rsidRPr="00086679">
        <w:rPr>
          <w:rFonts w:ascii="Times New Roman" w:hAnsi="Times New Roman"/>
        </w:rPr>
        <w:t xml:space="preserve">do procedury dopuszczenia do obrotu zgodnie z klasyfikacją towaru podlegającego najwyższym należnościom celnym przywozowym i podatkowym  </w:t>
      </w:r>
      <w:r w:rsidRPr="00BE62B1">
        <w:rPr>
          <w:rFonts w:ascii="Times New Roman" w:hAnsi="Times New Roman"/>
          <w:b/>
        </w:rPr>
        <w:t xml:space="preserve">(§ 12 rozporządzenia Ministra Finansów </w:t>
      </w:r>
      <w:r w:rsidRPr="00BE62B1">
        <w:rPr>
          <w:rFonts w:ascii="Times New Roman" w:hAnsi="Times New Roman"/>
          <w:b/>
          <w:i/>
        </w:rPr>
        <w:t>w sprawie zgłoszeń celnych</w:t>
      </w:r>
      <w:r w:rsidRPr="00086679">
        <w:rPr>
          <w:rFonts w:ascii="Times New Roman" w:hAnsi="Times New Roman"/>
        </w:rPr>
        <w:t>);</w:t>
      </w:r>
    </w:p>
    <w:p w:rsidR="0073065F" w:rsidRPr="00086679" w:rsidRDefault="0073065F" w:rsidP="0073065F">
      <w:pPr>
        <w:numPr>
          <w:ilvl w:val="0"/>
          <w:numId w:val="27"/>
        </w:numPr>
        <w:spacing w:after="120" w:line="264" w:lineRule="auto"/>
        <w:ind w:right="26"/>
        <w:jc w:val="both"/>
        <w:rPr>
          <w:rFonts w:ascii="Times New Roman" w:hAnsi="Times New Roman"/>
        </w:rPr>
      </w:pPr>
      <w:r w:rsidRPr="00086679">
        <w:rPr>
          <w:rFonts w:ascii="Times New Roman" w:hAnsi="Times New Roman"/>
        </w:rPr>
        <w:t xml:space="preserve">do procedury wywozu, zgodnie z klasyfikacją towaru o najwyższej wartości w przesyłce, jeżeli zawiera ona towary, w stosunku do których nie istnieje obowiązek uiszczenia należności celnych wywozowych lub podatkowych albo zgodnie z klasyfikacją towaru podlegającego najwyższym należnościom celnym wywozowym i podatkowym </w:t>
      </w:r>
      <w:r w:rsidRPr="00BE62B1">
        <w:rPr>
          <w:rFonts w:ascii="Times New Roman" w:hAnsi="Times New Roman"/>
        </w:rPr>
        <w:t>(</w:t>
      </w:r>
      <w:r w:rsidRPr="00BE62B1">
        <w:rPr>
          <w:rFonts w:ascii="Times New Roman" w:hAnsi="Times New Roman"/>
          <w:b/>
        </w:rPr>
        <w:t xml:space="preserve">§ 19 rozporządzenia Ministra Finansów </w:t>
      </w:r>
      <w:r w:rsidRPr="00BE62B1">
        <w:rPr>
          <w:rFonts w:ascii="Times New Roman" w:hAnsi="Times New Roman"/>
          <w:b/>
          <w:i/>
        </w:rPr>
        <w:t>w sprawie zgłoszeń celnych</w:t>
      </w:r>
      <w:r w:rsidRPr="00086679">
        <w:rPr>
          <w:rFonts w:ascii="Times New Roman" w:hAnsi="Times New Roman"/>
        </w:rPr>
        <w:t>)”;</w:t>
      </w:r>
    </w:p>
    <w:p w:rsidR="0073065F" w:rsidRPr="00086679" w:rsidRDefault="0073065F" w:rsidP="0073065F">
      <w:pPr>
        <w:spacing w:after="120" w:line="264" w:lineRule="auto"/>
        <w:ind w:right="26"/>
        <w:jc w:val="both"/>
        <w:rPr>
          <w:rFonts w:ascii="Times New Roman" w:hAnsi="Times New Roman"/>
        </w:rPr>
      </w:pPr>
      <w:r w:rsidRPr="00086679">
        <w:rPr>
          <w:rFonts w:ascii="Times New Roman" w:hAnsi="Times New Roman"/>
          <w:b/>
        </w:rPr>
        <w:t>1H3</w:t>
      </w:r>
      <w:r w:rsidRPr="00086679">
        <w:rPr>
          <w:rFonts w:ascii="Times New Roman" w:hAnsi="Times New Roman"/>
        </w:rPr>
        <w:t xml:space="preserve"> – zgłoszenie celne dla towarów w stanie rozmontowanym lub niezmontowanym, objętych jedną fakturą, a w przypadku dopuszczenia do obrotu również dowodem pochodzenia, ale załadowanych na kilka środków transportu - składane oddzielnie dla towarów przewożonych na poszczególnych środkach transportu, z podaniem kodu wyrobu zgodnie z klasyfikacją wyrobu w stanie zmontowanym (</w:t>
      </w:r>
      <w:r w:rsidRPr="00BE62B1">
        <w:rPr>
          <w:rFonts w:ascii="Times New Roman" w:hAnsi="Times New Roman"/>
          <w:b/>
        </w:rPr>
        <w:t xml:space="preserve">§ 15 rozporządzenia Ministra Finansów </w:t>
      </w:r>
      <w:r w:rsidRPr="00BE62B1">
        <w:rPr>
          <w:rFonts w:ascii="Times New Roman" w:hAnsi="Times New Roman"/>
          <w:b/>
          <w:i/>
        </w:rPr>
        <w:t>w sprawie zgłoszeń celnych</w:t>
      </w:r>
      <w:r w:rsidRPr="00086679">
        <w:rPr>
          <w:rFonts w:ascii="Times New Roman" w:hAnsi="Times New Roman"/>
        </w:rPr>
        <w:t>).</w:t>
      </w:r>
      <w:r>
        <w:rPr>
          <w:rFonts w:ascii="Times New Roman" w:hAnsi="Times New Roman"/>
        </w:rPr>
        <w:t>”;</w:t>
      </w:r>
    </w:p>
    <w:p w:rsidR="0073065F" w:rsidRDefault="0073065F" w:rsidP="0073065F">
      <w:pPr>
        <w:spacing w:before="240"/>
        <w:jc w:val="both"/>
        <w:rPr>
          <w:rFonts w:ascii="Times New Roman" w:hAnsi="Times New Roman"/>
        </w:rPr>
      </w:pPr>
    </w:p>
    <w:p w:rsidR="0073065F" w:rsidRDefault="0073065F" w:rsidP="0073065F">
      <w:pPr>
        <w:spacing w:before="240"/>
        <w:jc w:val="both"/>
        <w:rPr>
          <w:rFonts w:ascii="Times New Roman" w:hAnsi="Times New Roman"/>
          <w:b/>
        </w:rPr>
      </w:pPr>
      <w:r>
        <w:rPr>
          <w:rFonts w:ascii="Times New Roman" w:hAnsi="Times New Roman"/>
          <w:b/>
        </w:rPr>
        <w:t>4</w:t>
      </w:r>
      <w:r w:rsidRPr="00086679">
        <w:rPr>
          <w:rFonts w:ascii="Times New Roman" w:hAnsi="Times New Roman"/>
          <w:b/>
        </w:rPr>
        <w:t>)</w:t>
      </w:r>
      <w:r>
        <w:rPr>
          <w:rFonts w:ascii="Times New Roman" w:hAnsi="Times New Roman"/>
        </w:rPr>
        <w:t xml:space="preserve"> </w:t>
      </w:r>
      <w:r w:rsidRPr="00FA1758">
        <w:rPr>
          <w:rFonts w:ascii="Times New Roman" w:hAnsi="Times New Roman"/>
        </w:rPr>
        <w:t xml:space="preserve"> </w:t>
      </w:r>
      <w:r w:rsidRPr="00FA1758">
        <w:rPr>
          <w:rFonts w:ascii="Times New Roman" w:hAnsi="Times New Roman"/>
          <w:b/>
        </w:rPr>
        <w:t>w opisie pola  44</w:t>
      </w:r>
      <w:r>
        <w:rPr>
          <w:rFonts w:ascii="Times New Roman" w:hAnsi="Times New Roman"/>
          <w:b/>
        </w:rPr>
        <w:t>:</w:t>
      </w:r>
    </w:p>
    <w:p w:rsidR="0073065F" w:rsidRDefault="0073065F" w:rsidP="0073065F">
      <w:pPr>
        <w:spacing w:before="240"/>
        <w:ind w:firstLine="720"/>
        <w:jc w:val="both"/>
        <w:rPr>
          <w:rFonts w:ascii="Times New Roman" w:hAnsi="Times New Roman"/>
        </w:rPr>
      </w:pPr>
      <w:r w:rsidRPr="004B4D7E">
        <w:rPr>
          <w:rFonts w:ascii="Times New Roman" w:hAnsi="Times New Roman"/>
          <w:b/>
        </w:rPr>
        <w:t>a) w pkt 1, w sekcji B. „Krajowe kody informacji dodatkowych”</w:t>
      </w:r>
      <w:r>
        <w:rPr>
          <w:rFonts w:ascii="Times New Roman" w:hAnsi="Times New Roman"/>
          <w:b/>
        </w:rPr>
        <w:t xml:space="preserve"> </w:t>
      </w:r>
      <w:r w:rsidRPr="008924E1">
        <w:rPr>
          <w:rFonts w:ascii="Times New Roman" w:hAnsi="Times New Roman"/>
        </w:rPr>
        <w:t>(str. 158-162):</w:t>
      </w:r>
    </w:p>
    <w:p w:rsidR="0073065F" w:rsidRDefault="0073065F" w:rsidP="0073065F">
      <w:pPr>
        <w:spacing w:before="240"/>
        <w:ind w:firstLine="720"/>
        <w:jc w:val="both"/>
        <w:rPr>
          <w:rFonts w:ascii="Times New Roman" w:hAnsi="Times New Roman"/>
        </w:rPr>
      </w:pPr>
      <w:r>
        <w:rPr>
          <w:rFonts w:ascii="Times New Roman" w:hAnsi="Times New Roman"/>
        </w:rPr>
        <w:t>- opis kodu 3PL15 otrzymuje następujące brzmienie:</w:t>
      </w:r>
    </w:p>
    <w:p w:rsidR="0073065F" w:rsidRDefault="0073065F" w:rsidP="0073065F">
      <w:pPr>
        <w:spacing w:before="240"/>
        <w:ind w:firstLine="720"/>
        <w:jc w:val="both"/>
        <w:rPr>
          <w:rFonts w:ascii="Times New Roman" w:hAnsi="Times New Roman"/>
        </w:rPr>
      </w:pPr>
    </w:p>
    <w:p w:rsidR="0073065F" w:rsidRDefault="0073065F" w:rsidP="0073065F">
      <w:pPr>
        <w:jc w:val="both"/>
        <w:rPr>
          <w:rFonts w:ascii="Times New Roman" w:hAnsi="Times New Roman"/>
        </w:rPr>
      </w:pPr>
      <w:r w:rsidRPr="00991B49">
        <w:rPr>
          <w:rFonts w:ascii="Times New Roman" w:hAnsi="Times New Roman"/>
          <w:b/>
        </w:rPr>
        <w:t xml:space="preserve"> „3PL15 - FALLBACK” - </w:t>
      </w:r>
      <w:r>
        <w:rPr>
          <w:rFonts w:ascii="Times New Roman" w:hAnsi="Times New Roman"/>
        </w:rPr>
        <w:t>k</w:t>
      </w:r>
      <w:r w:rsidRPr="00991B49">
        <w:rPr>
          <w:rFonts w:ascii="Times New Roman" w:hAnsi="Times New Roman"/>
        </w:rPr>
        <w:t>od wskazujący, że zgłoszenie wywozowe zostało złożone w ramach procedury awaryjnej w systemie AES (zgłoszenie „papierowe” w urzędzie wywozu) lub że potwierdzenie unijnego statusu celnego towarów zostało dokonane w procedurze awaryjnej na karcie 4 SAD zarówno dla procedury standardowej jak też upoważnionego wystawcy.”</w:t>
      </w:r>
      <w:r>
        <w:rPr>
          <w:rFonts w:ascii="Times New Roman" w:hAnsi="Times New Roman"/>
        </w:rPr>
        <w:t>;</w:t>
      </w:r>
    </w:p>
    <w:p w:rsidR="0073065F" w:rsidRDefault="0073065F" w:rsidP="0073065F">
      <w:pPr>
        <w:spacing w:before="240"/>
        <w:jc w:val="both"/>
        <w:rPr>
          <w:rFonts w:ascii="Times New Roman" w:hAnsi="Times New Roman"/>
        </w:rPr>
      </w:pPr>
      <w:r>
        <w:rPr>
          <w:rFonts w:ascii="Times New Roman" w:hAnsi="Times New Roman"/>
        </w:rPr>
        <w:tab/>
        <w:t>- opis kodu 3PL22 otrzymuje następujące brzmienie:</w:t>
      </w:r>
    </w:p>
    <w:p w:rsidR="0073065F" w:rsidRDefault="0073065F" w:rsidP="0073065F">
      <w:pPr>
        <w:jc w:val="both"/>
        <w:rPr>
          <w:b/>
        </w:rPr>
      </w:pPr>
    </w:p>
    <w:p w:rsidR="0073065F" w:rsidRDefault="0073065F" w:rsidP="0073065F">
      <w:pPr>
        <w:jc w:val="both"/>
        <w:rPr>
          <w:rFonts w:ascii="Times New Roman" w:hAnsi="Times New Roman"/>
          <w:bCs/>
        </w:rPr>
      </w:pPr>
      <w:r>
        <w:rPr>
          <w:rFonts w:ascii="Times New Roman" w:hAnsi="Times New Roman"/>
          <w:b/>
          <w:bCs/>
        </w:rPr>
        <w:t>„</w:t>
      </w:r>
      <w:r w:rsidRPr="005E73A7">
        <w:rPr>
          <w:rFonts w:ascii="Times New Roman" w:hAnsi="Times New Roman"/>
          <w:b/>
          <w:bCs/>
        </w:rPr>
        <w:t xml:space="preserve">3PL22 </w:t>
      </w:r>
      <w:r w:rsidRPr="005E73A7">
        <w:rPr>
          <w:rFonts w:ascii="Times New Roman" w:hAnsi="Times New Roman"/>
          <w:bCs/>
        </w:rPr>
        <w:t>– podawany w zgłoszeniu tranzytowym kod inicjujący wymianę danych w ramach interfejsu NCTS2/AES.</w:t>
      </w:r>
      <w:r>
        <w:rPr>
          <w:rFonts w:ascii="Times New Roman" w:hAnsi="Times New Roman"/>
          <w:bCs/>
        </w:rPr>
        <w:t>”;</w:t>
      </w:r>
    </w:p>
    <w:p w:rsidR="0073065F" w:rsidRDefault="0073065F" w:rsidP="0073065F">
      <w:pPr>
        <w:jc w:val="both"/>
        <w:rPr>
          <w:rFonts w:ascii="Times New Roman" w:hAnsi="Times New Roman"/>
          <w:bCs/>
        </w:rPr>
      </w:pPr>
    </w:p>
    <w:p w:rsidR="0073065F" w:rsidRDefault="0073065F" w:rsidP="0073065F">
      <w:pPr>
        <w:spacing w:before="240"/>
        <w:ind w:firstLine="720"/>
        <w:jc w:val="both"/>
        <w:rPr>
          <w:rFonts w:ascii="Times New Roman" w:hAnsi="Times New Roman"/>
        </w:rPr>
      </w:pPr>
      <w:r>
        <w:rPr>
          <w:rFonts w:ascii="Times New Roman" w:hAnsi="Times New Roman"/>
        </w:rPr>
        <w:t>- opis kodu 4PL07 otrzymuje następujące brzmienie:</w:t>
      </w:r>
    </w:p>
    <w:p w:rsidR="0073065F" w:rsidRPr="005E73A7" w:rsidRDefault="0073065F" w:rsidP="0073065F">
      <w:pPr>
        <w:jc w:val="both"/>
        <w:rPr>
          <w:rFonts w:ascii="Times New Roman" w:hAnsi="Times New Roman"/>
        </w:rPr>
      </w:pPr>
    </w:p>
    <w:p w:rsidR="0073065F" w:rsidRPr="00577796" w:rsidRDefault="0073065F" w:rsidP="0073065F">
      <w:pPr>
        <w:jc w:val="both"/>
        <w:rPr>
          <w:rFonts w:ascii="Times New Roman" w:hAnsi="Times New Roman"/>
        </w:rPr>
      </w:pPr>
      <w:r w:rsidRPr="00577796">
        <w:rPr>
          <w:rFonts w:ascii="Times New Roman" w:hAnsi="Times New Roman"/>
          <w:b/>
        </w:rPr>
        <w:t xml:space="preserve"> „4PL07</w:t>
      </w:r>
      <w:r w:rsidRPr="00577796">
        <w:rPr>
          <w:rFonts w:ascii="Times New Roman" w:hAnsi="Times New Roman"/>
        </w:rPr>
        <w:t xml:space="preserve"> – bez zabezpieczania należności celnych w procedurach uszlachetniania czynnego i odprawy czasowej oraz należności podatkowych w procedurach uszlachetniania czynnego i odprawy czasowej z całkowitym zwolnieniem z należności celnych albo jeżeli zabezpieczenie w procedurze uszlachetniania czynnego lub odprawy czasowej (o ile zgłoszenie celne do którejkolwiek w tych procedur nie stanowi równocześnie wniosku o udzielenie pozwolenia na stosowanie procedury specjalnej na podstawie zgłoszenia celnego) zostało złożone lecz</w:t>
      </w:r>
      <w:r w:rsidRPr="00577796">
        <w:rPr>
          <w:rFonts w:ascii="Times New Roman" w:hAnsi="Times New Roman"/>
          <w:lang w:eastAsia="pl-PL"/>
        </w:rPr>
        <w:t xml:space="preserve"> nie podlega ono saldowaniu na etapie obsługi zgłoszenia celnego lecz monitorowaniu w drodze audytu. </w:t>
      </w:r>
      <w:r w:rsidRPr="00577796">
        <w:rPr>
          <w:rFonts w:ascii="Times New Roman" w:hAnsi="Times New Roman"/>
        </w:rPr>
        <w:t>W tym ostatnim przypadku należy po tym kodzie podać numer referencyjny zabezpieczenia (numery referencyjne zabezpieczeń) w następującej strukturze:</w:t>
      </w:r>
    </w:p>
    <w:p w:rsidR="0073065F" w:rsidRPr="00577796" w:rsidRDefault="0073065F" w:rsidP="0073065F">
      <w:pPr>
        <w:jc w:val="both"/>
        <w:rPr>
          <w:rFonts w:ascii="Times New Roman" w:hAnsi="Times New Roman"/>
          <w:i/>
          <w:iCs/>
        </w:rPr>
      </w:pPr>
      <w:r w:rsidRPr="00577796">
        <w:rPr>
          <w:rFonts w:ascii="Times New Roman" w:hAnsi="Times New Roman"/>
          <w:i/>
          <w:iCs/>
        </w:rPr>
        <w:t>Przykład:</w:t>
      </w:r>
    </w:p>
    <w:p w:rsidR="0073065F" w:rsidRPr="00577796" w:rsidRDefault="0073065F" w:rsidP="0073065F">
      <w:pPr>
        <w:autoSpaceDE w:val="0"/>
        <w:autoSpaceDN w:val="0"/>
        <w:adjustRightInd w:val="0"/>
        <w:spacing w:after="120" w:line="264" w:lineRule="auto"/>
        <w:jc w:val="both"/>
        <w:rPr>
          <w:rFonts w:ascii="Times New Roman" w:hAnsi="Times New Roman"/>
          <w:lang w:eastAsia="pl-PL"/>
        </w:rPr>
      </w:pPr>
      <w:r w:rsidRPr="00577796">
        <w:rPr>
          <w:rFonts w:ascii="Times New Roman" w:hAnsi="Times New Roman"/>
          <w:i/>
          <w:iCs/>
        </w:rPr>
        <w:t>17PL440000AG005369</w:t>
      </w:r>
      <w:r w:rsidRPr="00577796">
        <w:rPr>
          <w:rFonts w:ascii="Times New Roman" w:hAnsi="Times New Roman"/>
          <w:lang w:eastAsia="pl-PL"/>
        </w:rPr>
        <w:t>”;</w:t>
      </w:r>
    </w:p>
    <w:p w:rsidR="0073065F" w:rsidRPr="00FB536B" w:rsidRDefault="0073065F" w:rsidP="0073065F">
      <w:pPr>
        <w:autoSpaceDE w:val="0"/>
        <w:autoSpaceDN w:val="0"/>
        <w:adjustRightInd w:val="0"/>
        <w:spacing w:after="120" w:line="264" w:lineRule="auto"/>
        <w:jc w:val="both"/>
        <w:rPr>
          <w:rFonts w:ascii="Times New Roman" w:hAnsi="Times New Roman"/>
          <w:lang w:eastAsia="pl-PL"/>
        </w:rPr>
      </w:pPr>
    </w:p>
    <w:p w:rsidR="0073065F" w:rsidRDefault="0073065F" w:rsidP="0073065F">
      <w:pPr>
        <w:spacing w:before="240"/>
        <w:ind w:firstLine="720"/>
        <w:jc w:val="both"/>
        <w:rPr>
          <w:rFonts w:ascii="Times New Roman" w:hAnsi="Times New Roman"/>
        </w:rPr>
      </w:pPr>
      <w:r>
        <w:rPr>
          <w:rFonts w:ascii="Times New Roman" w:hAnsi="Times New Roman"/>
        </w:rPr>
        <w:t>- wprowadza się nowy kod 4PL13 z następującym opisem:</w:t>
      </w:r>
    </w:p>
    <w:p w:rsidR="0073065F" w:rsidRDefault="0073065F" w:rsidP="0073065F">
      <w:pPr>
        <w:jc w:val="both"/>
        <w:rPr>
          <w:rFonts w:asciiTheme="minorHAnsi" w:hAnsiTheme="minorHAnsi" w:cstheme="minorBidi"/>
          <w:color w:val="1F497D" w:themeColor="dark2"/>
        </w:rPr>
      </w:pPr>
    </w:p>
    <w:p w:rsidR="0073065F" w:rsidRPr="00BE3943" w:rsidRDefault="0073065F" w:rsidP="0073065F">
      <w:pPr>
        <w:jc w:val="both"/>
        <w:rPr>
          <w:rFonts w:ascii="Times New Roman" w:hAnsi="Times New Roman"/>
        </w:rPr>
      </w:pPr>
      <w:r w:rsidRPr="00BE3943">
        <w:rPr>
          <w:rFonts w:ascii="Times New Roman" w:hAnsi="Times New Roman"/>
        </w:rPr>
        <w:t>„</w:t>
      </w:r>
      <w:r w:rsidRPr="00BE3943">
        <w:rPr>
          <w:rFonts w:ascii="Times New Roman" w:hAnsi="Times New Roman"/>
          <w:b/>
        </w:rPr>
        <w:t>4PL13</w:t>
      </w:r>
      <w:r w:rsidRPr="00BE3943">
        <w:rPr>
          <w:rFonts w:ascii="Times New Roman" w:hAnsi="Times New Roman"/>
        </w:rPr>
        <w:t xml:space="preserve"> – kod stosowany w przypadkach, gdy w procedurze składowania celnego zostało złożone zabezpieczenie. Po tym kodzie należy podać numer referencyjny zabezpieczenia (numery referencyjne zabezpieczeń) w następującej strukturze:</w:t>
      </w:r>
    </w:p>
    <w:p w:rsidR="0073065F" w:rsidRPr="00BE3943" w:rsidRDefault="0073065F" w:rsidP="0073065F">
      <w:pPr>
        <w:jc w:val="both"/>
        <w:rPr>
          <w:rFonts w:ascii="Times New Roman" w:hAnsi="Times New Roman"/>
          <w:i/>
          <w:iCs/>
        </w:rPr>
      </w:pPr>
      <w:r w:rsidRPr="00BE3943">
        <w:rPr>
          <w:rFonts w:ascii="Times New Roman" w:hAnsi="Times New Roman"/>
          <w:i/>
          <w:iCs/>
        </w:rPr>
        <w:t>Przykład:</w:t>
      </w:r>
    </w:p>
    <w:p w:rsidR="0073065F" w:rsidRPr="00BE3943" w:rsidRDefault="0073065F" w:rsidP="0073065F">
      <w:pPr>
        <w:jc w:val="both"/>
        <w:rPr>
          <w:rFonts w:ascii="Times New Roman" w:hAnsi="Times New Roman"/>
          <w:sz w:val="22"/>
          <w:szCs w:val="22"/>
        </w:rPr>
      </w:pPr>
      <w:r w:rsidRPr="00BE3943">
        <w:rPr>
          <w:rFonts w:ascii="Times New Roman" w:hAnsi="Times New Roman"/>
          <w:i/>
          <w:iCs/>
        </w:rPr>
        <w:t>17PL440000AG005369”</w:t>
      </w:r>
      <w:r>
        <w:rPr>
          <w:rFonts w:ascii="Times New Roman" w:hAnsi="Times New Roman"/>
          <w:i/>
          <w:iCs/>
        </w:rPr>
        <w:t>;</w:t>
      </w:r>
    </w:p>
    <w:p w:rsidR="0073065F" w:rsidRDefault="0073065F" w:rsidP="0073065F">
      <w:pPr>
        <w:jc w:val="both"/>
        <w:rPr>
          <w:i/>
          <w:iCs/>
        </w:rPr>
      </w:pPr>
    </w:p>
    <w:p w:rsidR="0073065F" w:rsidRDefault="0073065F" w:rsidP="0073065F">
      <w:pPr>
        <w:jc w:val="both"/>
        <w:rPr>
          <w:i/>
          <w:iCs/>
        </w:rPr>
      </w:pPr>
    </w:p>
    <w:p w:rsidR="0073065F" w:rsidRPr="00320C7F" w:rsidRDefault="0073065F" w:rsidP="0073065F">
      <w:pPr>
        <w:jc w:val="both"/>
        <w:rPr>
          <w:rFonts w:ascii="Times New Roman" w:hAnsi="Times New Roman"/>
          <w:i/>
        </w:rPr>
      </w:pPr>
      <w:r w:rsidRPr="00320C7F">
        <w:rPr>
          <w:rFonts w:ascii="Times New Roman" w:hAnsi="Times New Roman"/>
          <w:i/>
        </w:rPr>
        <w:t xml:space="preserve">Zmiana opisu kodu 4PL07 oraz wprowadzenie kodu 4PL13 ma na celu umożliwienie stosowania monitorowania zabezpieczenia w drodze audytu w procedurze składowania celnego, uszlachetniania czynnego i odprawy czasowej, uzyskanie zgodności z wynikającym z Załącznika B do Rozporządzenia Delegowanego do UKC wymogiem dotyczącym podania (dla wybranych procedur specjalnych) numeru referencyjnego zabezpieczenia, a także </w:t>
      </w:r>
      <w:r w:rsidRPr="00320C7F">
        <w:rPr>
          <w:rFonts w:ascii="Times New Roman" w:hAnsi="Times New Roman"/>
          <w:i/>
        </w:rPr>
        <w:lastRenderedPageBreak/>
        <w:t>zapewnienie odpowiedniego monitorowania zabezpieczenia w drodze audytu, w sytuacjach, gdy zabezpieczenie nie będzie podlegać saldowaniu w systemie OSOZ2 podczas obsługi zgłoszenia celnego</w:t>
      </w:r>
      <w:r>
        <w:rPr>
          <w:rFonts w:ascii="Times New Roman" w:hAnsi="Times New Roman"/>
          <w:i/>
        </w:rPr>
        <w:t>;</w:t>
      </w:r>
    </w:p>
    <w:p w:rsidR="0073065F" w:rsidRPr="00991B49" w:rsidRDefault="0073065F" w:rsidP="0073065F">
      <w:pPr>
        <w:jc w:val="both"/>
        <w:rPr>
          <w:rFonts w:ascii="Times New Roman" w:hAnsi="Times New Roman"/>
          <w:b/>
        </w:rPr>
      </w:pPr>
    </w:p>
    <w:p w:rsidR="0073065F" w:rsidRPr="004750CA" w:rsidRDefault="0073065F" w:rsidP="0073065F">
      <w:pPr>
        <w:spacing w:before="240"/>
        <w:ind w:firstLine="720"/>
        <w:jc w:val="both"/>
        <w:rPr>
          <w:rFonts w:ascii="Times New Roman" w:hAnsi="Times New Roman"/>
        </w:rPr>
      </w:pPr>
      <w:r w:rsidRPr="001E6DED">
        <w:rPr>
          <w:rFonts w:ascii="Times New Roman" w:hAnsi="Times New Roman"/>
          <w:b/>
        </w:rPr>
        <w:t xml:space="preserve">b) </w:t>
      </w:r>
      <w:r>
        <w:rPr>
          <w:rFonts w:ascii="Times New Roman" w:hAnsi="Times New Roman"/>
          <w:b/>
        </w:rPr>
        <w:t xml:space="preserve">w pkt 2, we wprowadzeniu do Sekcji A, </w:t>
      </w:r>
      <w:r w:rsidRPr="008924E1">
        <w:rPr>
          <w:rFonts w:ascii="Times New Roman" w:hAnsi="Times New Roman"/>
          <w:b/>
        </w:rPr>
        <w:t>uwaga zawarta w pkt a)</w:t>
      </w:r>
      <w:r w:rsidRPr="004750CA">
        <w:rPr>
          <w:rFonts w:ascii="Times New Roman" w:hAnsi="Times New Roman"/>
        </w:rPr>
        <w:t xml:space="preserve"> </w:t>
      </w:r>
      <w:r>
        <w:rPr>
          <w:rFonts w:ascii="Times New Roman" w:hAnsi="Times New Roman"/>
        </w:rPr>
        <w:t xml:space="preserve">(str. 163) </w:t>
      </w:r>
      <w:r w:rsidRPr="004750CA">
        <w:rPr>
          <w:rFonts w:ascii="Times New Roman" w:hAnsi="Times New Roman"/>
        </w:rPr>
        <w:t>otrzymuje brzmienie</w:t>
      </w:r>
      <w:r>
        <w:rPr>
          <w:rFonts w:ascii="Times New Roman" w:hAnsi="Times New Roman"/>
        </w:rPr>
        <w:t>:</w:t>
      </w:r>
    </w:p>
    <w:p w:rsidR="0073065F" w:rsidRDefault="0073065F" w:rsidP="0073065F">
      <w:pPr>
        <w:spacing w:before="240"/>
        <w:ind w:firstLine="720"/>
        <w:jc w:val="both"/>
        <w:rPr>
          <w:rFonts w:ascii="Times New Roman" w:hAnsi="Times New Roman"/>
          <w:b/>
        </w:rPr>
      </w:pPr>
    </w:p>
    <w:p w:rsidR="0073065F" w:rsidRDefault="0073065F" w:rsidP="0073065F">
      <w:pPr>
        <w:widowControl w:val="0"/>
        <w:tabs>
          <w:tab w:val="left" w:pos="-142"/>
          <w:tab w:val="left" w:pos="1134"/>
          <w:tab w:val="left" w:pos="1701"/>
          <w:tab w:val="left" w:pos="2268"/>
          <w:tab w:val="left" w:pos="9000"/>
          <w:tab w:val="right" w:pos="9360"/>
        </w:tabs>
        <w:jc w:val="both"/>
        <w:rPr>
          <w:rFonts w:ascii="Times New Roman" w:hAnsi="Times New Roman"/>
        </w:rPr>
      </w:pPr>
      <w:r>
        <w:rPr>
          <w:rFonts w:ascii="Times New Roman" w:hAnsi="Times New Roman"/>
          <w:b/>
          <w:bCs/>
          <w:szCs w:val="20"/>
        </w:rPr>
        <w:t>„</w:t>
      </w:r>
      <w:r w:rsidRPr="004750CA">
        <w:rPr>
          <w:rFonts w:ascii="Times New Roman" w:hAnsi="Times New Roman"/>
          <w:b/>
          <w:bCs/>
          <w:szCs w:val="20"/>
        </w:rPr>
        <w:t xml:space="preserve">Uwaga! </w:t>
      </w:r>
      <w:r w:rsidRPr="004750CA">
        <w:rPr>
          <w:rFonts w:ascii="Times New Roman" w:hAnsi="Times New Roman"/>
          <w:szCs w:val="20"/>
        </w:rPr>
        <w:t xml:space="preserve">Aktualizowany na bieżąco </w:t>
      </w:r>
      <w:r w:rsidRPr="004750CA">
        <w:rPr>
          <w:rFonts w:ascii="Times New Roman" w:hAnsi="Times New Roman"/>
          <w:color w:val="32342F"/>
          <w:szCs w:val="17"/>
        </w:rPr>
        <w:t xml:space="preserve">wykaz unijnych kodów dokumentów i pozwoleń wykorzystywanych przy wypełnianiu Pola 44 </w:t>
      </w:r>
      <w:r w:rsidRPr="004750CA">
        <w:rPr>
          <w:rFonts w:ascii="Times New Roman" w:hAnsi="Times New Roman"/>
          <w:szCs w:val="20"/>
        </w:rPr>
        <w:t xml:space="preserve">udostępniony jest na stronie internetowej: </w:t>
      </w:r>
      <w:hyperlink r:id="rId24" w:history="1">
        <w:r w:rsidRPr="004750CA">
          <w:rPr>
            <w:rStyle w:val="Hipercze"/>
            <w:rFonts w:ascii="Times New Roman" w:hAnsi="Times New Roman"/>
          </w:rPr>
          <w:t>https://puesc.gov.pl/seap_pdr_extimpl/slowniki/034</w:t>
        </w:r>
      </w:hyperlink>
      <w:r>
        <w:rPr>
          <w:rFonts w:ascii="Times New Roman" w:hAnsi="Times New Roman"/>
        </w:rPr>
        <w:t xml:space="preserve"> ”; </w:t>
      </w:r>
    </w:p>
    <w:p w:rsidR="0073065F" w:rsidRPr="004750CA" w:rsidRDefault="0073065F" w:rsidP="0073065F">
      <w:pPr>
        <w:widowControl w:val="0"/>
        <w:tabs>
          <w:tab w:val="left" w:pos="-142"/>
          <w:tab w:val="left" w:pos="1134"/>
          <w:tab w:val="left" w:pos="1701"/>
          <w:tab w:val="left" w:pos="2268"/>
          <w:tab w:val="left" w:pos="9000"/>
          <w:tab w:val="right" w:pos="9360"/>
        </w:tabs>
        <w:jc w:val="both"/>
        <w:rPr>
          <w:rFonts w:ascii="Times New Roman" w:hAnsi="Times New Roman"/>
          <w:szCs w:val="20"/>
        </w:rPr>
      </w:pPr>
    </w:p>
    <w:p w:rsidR="0073065F" w:rsidRPr="001E6DED" w:rsidRDefault="0073065F" w:rsidP="0073065F">
      <w:pPr>
        <w:spacing w:before="240"/>
        <w:ind w:firstLine="720"/>
        <w:jc w:val="both"/>
        <w:rPr>
          <w:rFonts w:ascii="Times New Roman" w:hAnsi="Times New Roman"/>
          <w:b/>
        </w:rPr>
      </w:pPr>
      <w:r>
        <w:rPr>
          <w:rFonts w:ascii="Times New Roman" w:hAnsi="Times New Roman"/>
          <w:b/>
        </w:rPr>
        <w:t xml:space="preserve">c) </w:t>
      </w:r>
      <w:r w:rsidRPr="001E6DED">
        <w:rPr>
          <w:rFonts w:ascii="Times New Roman" w:hAnsi="Times New Roman"/>
          <w:b/>
        </w:rPr>
        <w:t>w pkt 2, w Sekcji A:</w:t>
      </w:r>
    </w:p>
    <w:p w:rsidR="0073065F" w:rsidRPr="004B4D7E" w:rsidRDefault="0073065F" w:rsidP="0073065F">
      <w:pPr>
        <w:spacing w:before="240"/>
        <w:ind w:firstLine="720"/>
        <w:jc w:val="both"/>
        <w:rPr>
          <w:rFonts w:ascii="Times New Roman" w:eastAsia="Times New Roman" w:hAnsi="Times New Roman"/>
          <w:b/>
          <w:bCs/>
        </w:rPr>
      </w:pPr>
      <w:r w:rsidRPr="004B4D7E">
        <w:rPr>
          <w:rFonts w:ascii="Times New Roman" w:hAnsi="Times New Roman"/>
          <w:b/>
        </w:rPr>
        <w:t xml:space="preserve">-  pkt 1 </w:t>
      </w:r>
      <w:r w:rsidRPr="008924E1">
        <w:rPr>
          <w:rFonts w:ascii="Times New Roman" w:hAnsi="Times New Roman"/>
        </w:rPr>
        <w:t>(str. 163-165), otrzymuje następujące brzmienie</w:t>
      </w:r>
    </w:p>
    <w:p w:rsidR="0073065F" w:rsidRPr="00FA1758" w:rsidRDefault="0073065F" w:rsidP="0073065F">
      <w:pPr>
        <w:spacing w:before="240"/>
        <w:jc w:val="both"/>
        <w:rPr>
          <w:rFonts w:ascii="Times New Roman" w:eastAsia="Times New Roman" w:hAnsi="Times New Roman"/>
          <w:b/>
          <w:bCs/>
        </w:rPr>
      </w:pPr>
      <w:r w:rsidRPr="00FA1758">
        <w:rPr>
          <w:rFonts w:ascii="Times New Roman" w:eastAsia="Times New Roman" w:hAnsi="Times New Roman"/>
          <w:b/>
          <w:bCs/>
        </w:rPr>
        <w:t>„1. Pozwolenia na stosowanie procedury specjalnej: uszlachetniania czynnego, uszlachetniania biernego, odprawy czasowej i końcowego przeznaczenia</w:t>
      </w:r>
    </w:p>
    <w:p w:rsidR="0073065F" w:rsidRPr="00FA1758" w:rsidRDefault="0073065F" w:rsidP="0073065F">
      <w:pPr>
        <w:spacing w:before="240"/>
        <w:jc w:val="both"/>
        <w:rPr>
          <w:rFonts w:ascii="Times New Roman" w:eastAsia="Times New Roman" w:hAnsi="Times New Roman"/>
          <w:b/>
          <w:bCs/>
        </w:rPr>
      </w:pPr>
      <w:r w:rsidRPr="00FA1758">
        <w:rPr>
          <w:rFonts w:ascii="Times New Roman" w:eastAsia="Times New Roman" w:hAnsi="Times New Roman"/>
          <w:b/>
          <w:bCs/>
        </w:rPr>
        <w:t xml:space="preserve">Uwaga! </w:t>
      </w:r>
    </w:p>
    <w:p w:rsidR="0073065F" w:rsidRPr="00FA1758" w:rsidRDefault="0073065F" w:rsidP="0073065F">
      <w:pPr>
        <w:numPr>
          <w:ilvl w:val="0"/>
          <w:numId w:val="6"/>
        </w:numPr>
        <w:spacing w:before="240"/>
        <w:jc w:val="both"/>
        <w:rPr>
          <w:rFonts w:ascii="Times New Roman" w:eastAsia="Times New Roman" w:hAnsi="Times New Roman"/>
          <w:bCs/>
        </w:rPr>
      </w:pPr>
      <w:r w:rsidRPr="00FA1758">
        <w:rPr>
          <w:rFonts w:ascii="Times New Roman" w:eastAsia="Times New Roman" w:hAnsi="Times New Roman"/>
          <w:bCs/>
        </w:rPr>
        <w:t>Od dnia 1 maja 2016 r. nie wydaje się pozwoleń na stosowanie procedury składowania celnego.</w:t>
      </w:r>
    </w:p>
    <w:p w:rsidR="0073065F" w:rsidRPr="00FA1758" w:rsidRDefault="0073065F" w:rsidP="0073065F">
      <w:pPr>
        <w:numPr>
          <w:ilvl w:val="0"/>
          <w:numId w:val="6"/>
        </w:numPr>
        <w:spacing w:before="240"/>
        <w:jc w:val="both"/>
        <w:rPr>
          <w:rFonts w:ascii="Times New Roman" w:eastAsia="Times New Roman" w:hAnsi="Times New Roman"/>
          <w:bCs/>
        </w:rPr>
      </w:pPr>
      <w:r w:rsidRPr="00FA1758">
        <w:rPr>
          <w:rFonts w:ascii="Times New Roman" w:eastAsia="Times New Roman" w:hAnsi="Times New Roman"/>
          <w:bCs/>
        </w:rPr>
        <w:t>W zgłoszeniach celnych składanych do sytemu CELINA należy podawać kody pozwoleń i strukturę numeru tych pozwoleń według reguł określonych poniżej:</w:t>
      </w:r>
    </w:p>
    <w:p w:rsidR="0073065F" w:rsidRPr="00FA1758" w:rsidRDefault="0073065F" w:rsidP="0073065F">
      <w:pPr>
        <w:spacing w:before="240"/>
        <w:ind w:left="720"/>
        <w:jc w:val="both"/>
        <w:rPr>
          <w:rFonts w:ascii="Times New Roman" w:eastAsia="Times New Roman" w:hAnsi="Times New Roman"/>
          <w:bCs/>
        </w:rPr>
      </w:pPr>
    </w:p>
    <w:p w:rsidR="0073065F" w:rsidRPr="00FA1758" w:rsidRDefault="0073065F" w:rsidP="0073065F">
      <w:pPr>
        <w:spacing w:before="120"/>
        <w:jc w:val="both"/>
        <w:rPr>
          <w:rFonts w:ascii="Times New Roman" w:eastAsia="Times New Roman" w:hAnsi="Times New Roman"/>
        </w:rPr>
      </w:pPr>
      <w:r w:rsidRPr="00FA1758">
        <w:rPr>
          <w:rFonts w:ascii="Times New Roman" w:eastAsia="Times New Roman" w:hAnsi="Times New Roman"/>
          <w:b/>
          <w:bCs/>
        </w:rPr>
        <w:t>1PG1</w:t>
      </w:r>
      <w:r w:rsidRPr="00FA1758">
        <w:rPr>
          <w:rFonts w:ascii="Times New Roman" w:eastAsia="Times New Roman" w:hAnsi="Times New Roman"/>
          <w:b/>
        </w:rPr>
        <w:t xml:space="preserve"> – </w:t>
      </w:r>
      <w:r w:rsidRPr="00FA1758">
        <w:rPr>
          <w:rFonts w:ascii="Times New Roman" w:eastAsia="Times New Roman" w:hAnsi="Times New Roman"/>
        </w:rPr>
        <w:t>pozwolenie (zwykłe) na stosowanie procedury specjalnej – uszlachetnianie czynne, , odprawa czasowa,</w:t>
      </w:r>
    </w:p>
    <w:p w:rsidR="0073065F" w:rsidRPr="00FA1758" w:rsidRDefault="0073065F" w:rsidP="0073065F">
      <w:pPr>
        <w:spacing w:before="120"/>
        <w:jc w:val="both"/>
        <w:rPr>
          <w:rFonts w:ascii="Times New Roman" w:eastAsia="Times New Roman" w:hAnsi="Times New Roman"/>
        </w:rPr>
      </w:pPr>
      <w:r w:rsidRPr="00FA1758">
        <w:rPr>
          <w:rFonts w:ascii="Times New Roman" w:eastAsia="Times New Roman" w:hAnsi="Times New Roman"/>
          <w:b/>
          <w:bCs/>
        </w:rPr>
        <w:t>1PG2</w:t>
      </w:r>
      <w:r w:rsidRPr="00FA1758">
        <w:rPr>
          <w:rFonts w:ascii="Times New Roman" w:eastAsia="Times New Roman" w:hAnsi="Times New Roman"/>
          <w:bCs/>
        </w:rPr>
        <w:t xml:space="preserve"> </w:t>
      </w:r>
      <w:r w:rsidRPr="00FA1758">
        <w:rPr>
          <w:rFonts w:ascii="Times New Roman" w:eastAsia="Times New Roman" w:hAnsi="Times New Roman"/>
        </w:rPr>
        <w:t>– pozwolenie na stosowanie procedury specjalnej - uszlachetnianie czynne,  odprawa czasowa,  obejmujące więcej niż jedno państwo członkowskie,</w:t>
      </w:r>
    </w:p>
    <w:p w:rsidR="0073065F" w:rsidRPr="00FA1758" w:rsidRDefault="0073065F" w:rsidP="0073065F">
      <w:pPr>
        <w:spacing w:before="120"/>
        <w:jc w:val="both"/>
        <w:rPr>
          <w:rFonts w:ascii="Times New Roman" w:eastAsia="Times New Roman" w:hAnsi="Times New Roman"/>
        </w:rPr>
      </w:pPr>
      <w:r w:rsidRPr="00FA1758">
        <w:rPr>
          <w:rFonts w:ascii="Times New Roman" w:eastAsia="Times New Roman" w:hAnsi="Times New Roman"/>
          <w:b/>
          <w:bCs/>
        </w:rPr>
        <w:t>1PG4</w:t>
      </w:r>
      <w:r w:rsidRPr="00FA1758">
        <w:rPr>
          <w:rFonts w:ascii="Times New Roman" w:eastAsia="Times New Roman" w:hAnsi="Times New Roman"/>
          <w:b/>
        </w:rPr>
        <w:t xml:space="preserve"> </w:t>
      </w:r>
      <w:r w:rsidRPr="00FA1758">
        <w:rPr>
          <w:rFonts w:ascii="Times New Roman" w:eastAsia="Times New Roman" w:hAnsi="Times New Roman"/>
        </w:rPr>
        <w:t>- pozwolenie wsteczne na stosowanie procedury specjalnej (uszlachetnianie czynne,  odprawa czasowa). Pozwolenie  wsteczne  może być pozwoleniem zwykłym lub obejmującym więcej niż jedno państwo członkowskie</w:t>
      </w:r>
    </w:p>
    <w:p w:rsidR="0073065F" w:rsidRPr="00FA1758" w:rsidRDefault="0073065F" w:rsidP="0073065F">
      <w:pPr>
        <w:keepNext/>
        <w:spacing w:before="120"/>
        <w:jc w:val="both"/>
        <w:outlineLvl w:val="1"/>
        <w:rPr>
          <w:rFonts w:ascii="Times New Roman" w:eastAsia="Times New Roman" w:hAnsi="Times New Roman"/>
          <w:bCs/>
        </w:rPr>
      </w:pPr>
      <w:r w:rsidRPr="00FA1758">
        <w:rPr>
          <w:rFonts w:ascii="Times New Roman" w:eastAsia="Times New Roman" w:hAnsi="Times New Roman"/>
          <w:b/>
        </w:rPr>
        <w:t xml:space="preserve">3SP3 </w:t>
      </w:r>
      <w:r w:rsidRPr="00FA1758">
        <w:rPr>
          <w:rFonts w:ascii="Times New Roman" w:eastAsia="Times New Roman" w:hAnsi="Times New Roman"/>
        </w:rPr>
        <w:t xml:space="preserve">– </w:t>
      </w:r>
      <w:r w:rsidRPr="00FA1758">
        <w:rPr>
          <w:rFonts w:ascii="Times New Roman" w:eastAsia="Times New Roman" w:hAnsi="Times New Roman"/>
          <w:bCs/>
        </w:rPr>
        <w:t xml:space="preserve">pozwolenie zwykłe na stosowanie procedury końcowego przeznaczenia (end-use) </w:t>
      </w:r>
    </w:p>
    <w:p w:rsidR="0073065F" w:rsidRPr="00FA1758" w:rsidRDefault="0073065F" w:rsidP="0073065F">
      <w:pPr>
        <w:spacing w:before="120"/>
        <w:jc w:val="both"/>
        <w:rPr>
          <w:rFonts w:ascii="Times New Roman" w:eastAsia="Arial Unicode MS" w:hAnsi="Times New Roman"/>
        </w:rPr>
      </w:pPr>
      <w:r w:rsidRPr="00FA1758">
        <w:rPr>
          <w:rFonts w:ascii="Times New Roman" w:eastAsia="Arial Unicode MS" w:hAnsi="Times New Roman"/>
          <w:b/>
        </w:rPr>
        <w:t>4SP4</w:t>
      </w:r>
      <w:r w:rsidRPr="00FA1758">
        <w:rPr>
          <w:rFonts w:ascii="Times New Roman" w:eastAsia="Arial Unicode MS" w:hAnsi="Times New Roman"/>
        </w:rPr>
        <w:t xml:space="preserve"> – </w:t>
      </w:r>
      <w:r w:rsidRPr="00FA1758">
        <w:rPr>
          <w:rFonts w:ascii="Times New Roman" w:eastAsia="Arial Unicode MS" w:hAnsi="Times New Roman"/>
          <w:bCs/>
        </w:rPr>
        <w:t xml:space="preserve">pozwolenie na stosowanie procedury końcowego przeznaczenia (end-use) </w:t>
      </w:r>
      <w:r w:rsidRPr="00FA1758">
        <w:rPr>
          <w:rFonts w:ascii="Times New Roman" w:eastAsia="Arial Unicode MS" w:hAnsi="Times New Roman"/>
        </w:rPr>
        <w:t>obejmujące więcej niż jedno państwo członkowskie</w:t>
      </w:r>
    </w:p>
    <w:p w:rsidR="0073065F" w:rsidRPr="00FA1758" w:rsidRDefault="0073065F" w:rsidP="0073065F">
      <w:pPr>
        <w:spacing w:before="120"/>
        <w:jc w:val="both"/>
        <w:rPr>
          <w:rFonts w:ascii="Times New Roman" w:eastAsia="Arial Unicode MS" w:hAnsi="Times New Roman"/>
          <w:bCs/>
        </w:rPr>
      </w:pPr>
      <w:r w:rsidRPr="00FA1758">
        <w:rPr>
          <w:rFonts w:ascii="Times New Roman" w:eastAsia="Arial Unicode MS" w:hAnsi="Times New Roman"/>
          <w:b/>
          <w:bCs/>
        </w:rPr>
        <w:t xml:space="preserve">7SP7 </w:t>
      </w:r>
      <w:r w:rsidRPr="00FA1758">
        <w:rPr>
          <w:rFonts w:ascii="Times New Roman" w:eastAsia="Arial Unicode MS" w:hAnsi="Times New Roman"/>
        </w:rPr>
        <w:t xml:space="preserve">– </w:t>
      </w:r>
      <w:r w:rsidRPr="00FA1758">
        <w:rPr>
          <w:rFonts w:ascii="Times New Roman" w:eastAsia="Arial Unicode MS" w:hAnsi="Times New Roman"/>
          <w:bCs/>
        </w:rPr>
        <w:t xml:space="preserve">pozwolenie wsteczne na stosowanie procedury końcowego przeznaczenia (end-use). Pozwolenie wsteczne jest pozwoleniem zwykłym bądź </w:t>
      </w:r>
      <w:r w:rsidRPr="00FA1758">
        <w:rPr>
          <w:rFonts w:ascii="Times New Roman" w:eastAsia="Arial Unicode MS" w:hAnsi="Times New Roman"/>
        </w:rPr>
        <w:t>obejmującym więcej niż jedno państwo członkowskie.</w:t>
      </w:r>
    </w:p>
    <w:p w:rsidR="0073065F" w:rsidRPr="00FA1758" w:rsidRDefault="0073065F" w:rsidP="0073065F">
      <w:pPr>
        <w:numPr>
          <w:ilvl w:val="0"/>
          <w:numId w:val="6"/>
        </w:numPr>
        <w:spacing w:before="240"/>
        <w:jc w:val="both"/>
        <w:rPr>
          <w:rFonts w:ascii="Times New Roman" w:eastAsia="Times New Roman" w:hAnsi="Times New Roman"/>
          <w:bCs/>
        </w:rPr>
      </w:pPr>
      <w:r w:rsidRPr="00FA1758">
        <w:rPr>
          <w:rFonts w:ascii="Times New Roman" w:eastAsia="Times New Roman" w:hAnsi="Times New Roman"/>
          <w:bCs/>
        </w:rPr>
        <w:t xml:space="preserve">W zgłoszeniach celnych składanych do sytemu AES o objęcie procedurą uszlachetniania biernego należy podawać poniższy kod pozwolenia i strukturę numeru takiego pozwolenia według reguł określonych poniżej: </w:t>
      </w:r>
    </w:p>
    <w:p w:rsidR="0073065F" w:rsidRPr="00FA1758" w:rsidRDefault="0073065F" w:rsidP="0073065F">
      <w:pPr>
        <w:spacing w:before="120"/>
        <w:ind w:firstLine="720"/>
        <w:jc w:val="both"/>
        <w:rPr>
          <w:rFonts w:ascii="Times New Roman" w:eastAsia="Times New Roman" w:hAnsi="Times New Roman"/>
        </w:rPr>
      </w:pPr>
      <w:r w:rsidRPr="00FA1758">
        <w:rPr>
          <w:rFonts w:ascii="Times New Roman" w:eastAsia="Times New Roman" w:hAnsi="Times New Roman"/>
          <w:b/>
        </w:rPr>
        <w:t>C019</w:t>
      </w:r>
      <w:r w:rsidRPr="00FA1758">
        <w:rPr>
          <w:rFonts w:ascii="Times New Roman" w:eastAsia="Times New Roman" w:hAnsi="Times New Roman"/>
        </w:rPr>
        <w:t xml:space="preserve"> </w:t>
      </w:r>
      <w:r w:rsidRPr="00FA1758">
        <w:rPr>
          <w:rFonts w:ascii="Times New Roman" w:eastAsia="Times New Roman" w:hAnsi="Times New Roman"/>
          <w:b/>
        </w:rPr>
        <w:t xml:space="preserve">– </w:t>
      </w:r>
      <w:r w:rsidRPr="00FA1758">
        <w:rPr>
          <w:rFonts w:ascii="Times New Roman" w:eastAsia="Times New Roman" w:hAnsi="Times New Roman"/>
        </w:rPr>
        <w:t>pozwolenie na stosowanie procedury uszlachetniania biernego,</w:t>
      </w:r>
    </w:p>
    <w:p w:rsidR="0073065F" w:rsidRPr="00FA1758" w:rsidRDefault="0073065F" w:rsidP="0073065F">
      <w:pPr>
        <w:spacing w:before="120"/>
        <w:jc w:val="both"/>
        <w:rPr>
          <w:rFonts w:ascii="Times New Roman" w:eastAsia="Times New Roman" w:hAnsi="Times New Roman"/>
          <w:b/>
          <w:bCs/>
        </w:rPr>
      </w:pPr>
      <w:r w:rsidRPr="00FA1758">
        <w:rPr>
          <w:rFonts w:ascii="Times New Roman" w:eastAsia="Times New Roman" w:hAnsi="Times New Roman"/>
          <w:b/>
          <w:bCs/>
        </w:rPr>
        <w:lastRenderedPageBreak/>
        <w:t>Zasady dotyczące pozwoleń na stosowanie procedur specjalnych wydanych do dnia 11 stycznia 2017 r. (włącznie) są następujące:</w:t>
      </w:r>
    </w:p>
    <w:p w:rsidR="0073065F" w:rsidRPr="00FA1758" w:rsidRDefault="0073065F" w:rsidP="0073065F">
      <w:pPr>
        <w:spacing w:before="120"/>
        <w:jc w:val="both"/>
        <w:rPr>
          <w:rFonts w:ascii="Times New Roman" w:eastAsia="Times New Roman" w:hAnsi="Times New Roman"/>
          <w:bCs/>
        </w:rPr>
      </w:pPr>
      <w:r w:rsidRPr="00FA1758">
        <w:rPr>
          <w:rFonts w:ascii="Times New Roman" w:eastAsia="Times New Roman" w:hAnsi="Times New Roman"/>
          <w:bCs/>
        </w:rPr>
        <w:t>Na strukturę numeru ww. pozwoleń (an15) składają się kolejno następujące po sobie elementy:</w:t>
      </w:r>
    </w:p>
    <w:p w:rsidR="0073065F" w:rsidRPr="00FA1758" w:rsidRDefault="0073065F" w:rsidP="0073065F">
      <w:pPr>
        <w:numPr>
          <w:ilvl w:val="0"/>
          <w:numId w:val="5"/>
        </w:numPr>
        <w:spacing w:before="120"/>
        <w:rPr>
          <w:rFonts w:ascii="Times New Roman" w:eastAsia="Times New Roman" w:hAnsi="Times New Roman"/>
          <w:bCs/>
        </w:rPr>
      </w:pPr>
      <w:r w:rsidRPr="00FA1758">
        <w:rPr>
          <w:rFonts w:ascii="Times New Roman" w:eastAsia="Times New Roman" w:hAnsi="Times New Roman"/>
        </w:rPr>
        <w:t>rok wydania pozwolenia (n2) np. rok 2004 należy wpisać „04”,</w:t>
      </w:r>
    </w:p>
    <w:p w:rsidR="0073065F" w:rsidRPr="00FA1758" w:rsidRDefault="0073065F" w:rsidP="0073065F">
      <w:pPr>
        <w:numPr>
          <w:ilvl w:val="0"/>
          <w:numId w:val="5"/>
        </w:numPr>
        <w:spacing w:after="120"/>
        <w:rPr>
          <w:rFonts w:ascii="Times New Roman" w:eastAsia="Times New Roman" w:hAnsi="Times New Roman"/>
          <w:lang w:val="en-US"/>
        </w:rPr>
      </w:pPr>
      <w:r w:rsidRPr="00FA1758">
        <w:rPr>
          <w:rFonts w:ascii="Times New Roman" w:eastAsia="Times New Roman" w:hAnsi="Times New Roman"/>
          <w:lang w:val="en-US"/>
        </w:rPr>
        <w:t>symbol PL (a2),</w:t>
      </w:r>
    </w:p>
    <w:p w:rsidR="0073065F" w:rsidRPr="00FA1758" w:rsidRDefault="0073065F" w:rsidP="0073065F">
      <w:pPr>
        <w:numPr>
          <w:ilvl w:val="0"/>
          <w:numId w:val="5"/>
        </w:numPr>
        <w:spacing w:after="120"/>
        <w:rPr>
          <w:rFonts w:ascii="Times New Roman" w:eastAsia="Times New Roman" w:hAnsi="Times New Roman"/>
          <w:bCs/>
        </w:rPr>
      </w:pPr>
      <w:r w:rsidRPr="00FA1758">
        <w:rPr>
          <w:rFonts w:ascii="Times New Roman" w:eastAsia="Times New Roman" w:hAnsi="Times New Roman"/>
        </w:rPr>
        <w:t>kod organu celnego, który wydał pozwolenie (n6),</w:t>
      </w:r>
    </w:p>
    <w:p w:rsidR="0073065F" w:rsidRPr="00FA1758" w:rsidRDefault="0073065F" w:rsidP="0073065F">
      <w:pPr>
        <w:numPr>
          <w:ilvl w:val="0"/>
          <w:numId w:val="5"/>
        </w:numPr>
        <w:spacing w:after="120"/>
        <w:rPr>
          <w:rFonts w:ascii="Times New Roman" w:eastAsia="Times New Roman" w:hAnsi="Times New Roman"/>
          <w:bCs/>
        </w:rPr>
      </w:pPr>
      <w:r w:rsidRPr="00FA1758">
        <w:rPr>
          <w:rFonts w:ascii="Times New Roman" w:eastAsia="Times New Roman" w:hAnsi="Times New Roman"/>
          <w:bCs/>
        </w:rPr>
        <w:t>kod procedury celnej, dla której wydane zostało pozwolenie (a1), gdzie:</w:t>
      </w:r>
    </w:p>
    <w:p w:rsidR="0073065F" w:rsidRPr="00FA1758" w:rsidRDefault="0073065F" w:rsidP="0073065F">
      <w:pPr>
        <w:widowControl w:val="0"/>
        <w:tabs>
          <w:tab w:val="num" w:pos="851"/>
        </w:tabs>
        <w:jc w:val="both"/>
        <w:rPr>
          <w:rFonts w:ascii="Times New Roman" w:eastAsia="Times New Roman" w:hAnsi="Times New Roman"/>
          <w:bCs/>
        </w:rPr>
      </w:pPr>
    </w:p>
    <w:p w:rsidR="0073065F" w:rsidRPr="00FA1758" w:rsidRDefault="0073065F" w:rsidP="0073065F">
      <w:pPr>
        <w:widowControl w:val="0"/>
        <w:tabs>
          <w:tab w:val="left" w:pos="851"/>
        </w:tabs>
        <w:spacing w:after="120"/>
        <w:ind w:left="851"/>
        <w:jc w:val="both"/>
        <w:rPr>
          <w:rFonts w:ascii="Times New Roman" w:eastAsia="Times New Roman" w:hAnsi="Times New Roman"/>
          <w:bCs/>
        </w:rPr>
      </w:pPr>
      <w:r w:rsidRPr="00FA1758">
        <w:rPr>
          <w:rFonts w:ascii="Times New Roman" w:eastAsia="Times New Roman" w:hAnsi="Times New Roman"/>
          <w:b/>
        </w:rPr>
        <w:t xml:space="preserve">D </w:t>
      </w:r>
      <w:r w:rsidRPr="00FA1758">
        <w:rPr>
          <w:rFonts w:ascii="Times New Roman" w:eastAsia="Times New Roman" w:hAnsi="Times New Roman"/>
          <w:bCs/>
        </w:rPr>
        <w:t>– procedura uszlachetniania czynnego (do dnia 30.04.2016 r. - w systemie zawieszeń),</w:t>
      </w:r>
    </w:p>
    <w:p w:rsidR="0073065F" w:rsidRPr="00FA1758" w:rsidRDefault="0073065F" w:rsidP="0073065F">
      <w:pPr>
        <w:widowControl w:val="0"/>
        <w:tabs>
          <w:tab w:val="left" w:pos="851"/>
        </w:tabs>
        <w:spacing w:after="120"/>
        <w:ind w:left="851"/>
        <w:jc w:val="both"/>
        <w:rPr>
          <w:rFonts w:ascii="Times New Roman" w:eastAsia="Times New Roman" w:hAnsi="Times New Roman"/>
          <w:bCs/>
        </w:rPr>
      </w:pPr>
      <w:r w:rsidRPr="00FA1758">
        <w:rPr>
          <w:rFonts w:ascii="Times New Roman" w:eastAsia="Times New Roman" w:hAnsi="Times New Roman"/>
          <w:b/>
        </w:rPr>
        <w:t>E</w:t>
      </w:r>
      <w:r w:rsidRPr="00FA1758">
        <w:rPr>
          <w:rFonts w:ascii="Times New Roman" w:eastAsia="Times New Roman" w:hAnsi="Times New Roman"/>
          <w:bCs/>
        </w:rPr>
        <w:t xml:space="preserve"> - procedura uszlachetniania czynnego w systemie ceł zwrotnych (pozwolenia wydane przed dniem 1.05.2016 r.),</w:t>
      </w:r>
    </w:p>
    <w:p w:rsidR="0073065F" w:rsidRPr="00FA1758" w:rsidRDefault="0073065F" w:rsidP="0073065F">
      <w:pPr>
        <w:widowControl w:val="0"/>
        <w:tabs>
          <w:tab w:val="left" w:pos="851"/>
        </w:tabs>
        <w:spacing w:after="120"/>
        <w:ind w:left="851"/>
        <w:jc w:val="both"/>
        <w:rPr>
          <w:rFonts w:ascii="Times New Roman" w:eastAsia="Times New Roman" w:hAnsi="Times New Roman"/>
          <w:bCs/>
        </w:rPr>
      </w:pPr>
      <w:r w:rsidRPr="00FA1758">
        <w:rPr>
          <w:rFonts w:ascii="Times New Roman" w:eastAsia="Times New Roman" w:hAnsi="Times New Roman"/>
          <w:b/>
        </w:rPr>
        <w:t xml:space="preserve">F </w:t>
      </w:r>
      <w:r w:rsidRPr="00FA1758">
        <w:rPr>
          <w:rFonts w:ascii="Times New Roman" w:eastAsia="Times New Roman" w:hAnsi="Times New Roman"/>
          <w:bCs/>
        </w:rPr>
        <w:t>– procedura odprawy czasowej,</w:t>
      </w:r>
    </w:p>
    <w:p w:rsidR="0073065F" w:rsidRPr="00FA1758" w:rsidRDefault="0073065F" w:rsidP="0073065F">
      <w:pPr>
        <w:widowControl w:val="0"/>
        <w:tabs>
          <w:tab w:val="num" w:pos="851"/>
        </w:tabs>
        <w:spacing w:after="120"/>
        <w:ind w:left="851"/>
        <w:jc w:val="both"/>
        <w:rPr>
          <w:rFonts w:ascii="Times New Roman" w:eastAsia="Times New Roman" w:hAnsi="Times New Roman"/>
        </w:rPr>
      </w:pPr>
      <w:r w:rsidRPr="00FA1758">
        <w:rPr>
          <w:rFonts w:ascii="Times New Roman" w:eastAsia="Times New Roman" w:hAnsi="Times New Roman"/>
          <w:b/>
          <w:bCs/>
        </w:rPr>
        <w:t>G</w:t>
      </w:r>
      <w:r w:rsidRPr="00FA1758">
        <w:rPr>
          <w:rFonts w:ascii="Times New Roman" w:eastAsia="Times New Roman" w:hAnsi="Times New Roman"/>
        </w:rPr>
        <w:t xml:space="preserve"> – procedura przetwarzania pod kontrolą celną </w:t>
      </w:r>
      <w:r w:rsidRPr="00FA1758">
        <w:rPr>
          <w:rFonts w:ascii="Times New Roman" w:eastAsia="Times New Roman" w:hAnsi="Times New Roman"/>
          <w:bCs/>
        </w:rPr>
        <w:t>(pozwolenia wydane przed dniem 1.05.2016 r.)</w:t>
      </w:r>
      <w:r w:rsidRPr="00FA1758">
        <w:rPr>
          <w:rFonts w:ascii="Times New Roman" w:eastAsia="Times New Roman" w:hAnsi="Times New Roman"/>
        </w:rPr>
        <w:t>,</w:t>
      </w:r>
    </w:p>
    <w:p w:rsidR="0073065F" w:rsidRPr="00FA1758" w:rsidRDefault="0073065F" w:rsidP="0073065F">
      <w:pPr>
        <w:widowControl w:val="0"/>
        <w:tabs>
          <w:tab w:val="num" w:pos="851"/>
        </w:tabs>
        <w:spacing w:after="120"/>
        <w:ind w:left="851"/>
        <w:jc w:val="both"/>
        <w:rPr>
          <w:rFonts w:ascii="Times New Roman" w:eastAsia="Times New Roman" w:hAnsi="Times New Roman"/>
          <w:bCs/>
        </w:rPr>
      </w:pPr>
      <w:r w:rsidRPr="00FA1758">
        <w:rPr>
          <w:rFonts w:ascii="Times New Roman" w:eastAsia="Times New Roman" w:hAnsi="Times New Roman"/>
          <w:b/>
        </w:rPr>
        <w:t xml:space="preserve">H </w:t>
      </w:r>
      <w:r w:rsidRPr="00FA1758">
        <w:rPr>
          <w:rFonts w:ascii="Times New Roman" w:eastAsia="Times New Roman" w:hAnsi="Times New Roman"/>
          <w:bCs/>
        </w:rPr>
        <w:t>– procedura uszlachetniania biernego.</w:t>
      </w:r>
    </w:p>
    <w:p w:rsidR="0073065F" w:rsidRPr="00FA1758" w:rsidRDefault="0073065F" w:rsidP="0073065F">
      <w:pPr>
        <w:widowControl w:val="0"/>
        <w:tabs>
          <w:tab w:val="num" w:pos="851"/>
        </w:tabs>
        <w:spacing w:after="120"/>
        <w:ind w:left="851"/>
        <w:jc w:val="both"/>
        <w:rPr>
          <w:rFonts w:ascii="Times New Roman" w:eastAsia="Times New Roman" w:hAnsi="Times New Roman"/>
          <w:bCs/>
        </w:rPr>
      </w:pPr>
      <w:r w:rsidRPr="00FA1758">
        <w:rPr>
          <w:rFonts w:ascii="Times New Roman" w:eastAsia="Times New Roman" w:hAnsi="Times New Roman"/>
          <w:b/>
        </w:rPr>
        <w:t xml:space="preserve">J - </w:t>
      </w:r>
      <w:r w:rsidRPr="00FA1758">
        <w:rPr>
          <w:rFonts w:ascii="Times New Roman" w:eastAsia="Times New Roman" w:hAnsi="Times New Roman"/>
          <w:bCs/>
        </w:rPr>
        <w:t xml:space="preserve">procedura końcowego przeznaczenia (end-use) </w:t>
      </w:r>
      <w:r w:rsidRPr="00FA1758">
        <w:rPr>
          <w:rFonts w:ascii="Times New Roman" w:eastAsia="Times New Roman" w:hAnsi="Times New Roman"/>
        </w:rPr>
        <w:t>obejmująca więcej niż jedno państwo członkowskie,</w:t>
      </w:r>
    </w:p>
    <w:p w:rsidR="0073065F" w:rsidRPr="00FA1758" w:rsidRDefault="0073065F" w:rsidP="0073065F">
      <w:pPr>
        <w:widowControl w:val="0"/>
        <w:tabs>
          <w:tab w:val="num" w:pos="851"/>
        </w:tabs>
        <w:spacing w:after="120"/>
        <w:ind w:left="851"/>
        <w:jc w:val="both"/>
        <w:rPr>
          <w:rFonts w:ascii="Times New Roman" w:eastAsia="Times New Roman" w:hAnsi="Times New Roman"/>
          <w:bCs/>
        </w:rPr>
      </w:pPr>
      <w:r w:rsidRPr="00FA1758">
        <w:rPr>
          <w:rFonts w:ascii="Times New Roman" w:eastAsia="Times New Roman" w:hAnsi="Times New Roman"/>
          <w:b/>
        </w:rPr>
        <w:t xml:space="preserve">L </w:t>
      </w:r>
      <w:r w:rsidRPr="00FA1758">
        <w:rPr>
          <w:rFonts w:ascii="Times New Roman" w:eastAsia="Times New Roman" w:hAnsi="Times New Roman"/>
          <w:bCs/>
        </w:rPr>
        <w:t xml:space="preserve">– procedura końcowego przeznaczenia (end-use) – pozwolenie zwykłe. </w:t>
      </w:r>
    </w:p>
    <w:p w:rsidR="0073065F" w:rsidRPr="00FA1758" w:rsidRDefault="0073065F" w:rsidP="0073065F">
      <w:pPr>
        <w:widowControl w:val="0"/>
        <w:tabs>
          <w:tab w:val="left" w:pos="851"/>
        </w:tabs>
        <w:spacing w:after="120"/>
        <w:ind w:left="851"/>
        <w:jc w:val="both"/>
        <w:rPr>
          <w:rFonts w:ascii="Times New Roman" w:eastAsia="Times New Roman" w:hAnsi="Times New Roman"/>
          <w:bCs/>
        </w:rPr>
      </w:pPr>
      <w:r w:rsidRPr="00FA1758">
        <w:rPr>
          <w:rFonts w:ascii="Times New Roman" w:eastAsia="Times New Roman" w:hAnsi="Times New Roman"/>
          <w:b/>
        </w:rPr>
        <w:t>Uwaga</w:t>
      </w:r>
      <w:r w:rsidRPr="00FA1758">
        <w:rPr>
          <w:rFonts w:ascii="Times New Roman" w:eastAsia="Times New Roman" w:hAnsi="Times New Roman"/>
          <w:bCs/>
        </w:rPr>
        <w:t xml:space="preserve">! Od dnia 1 maja 2016 r. </w:t>
      </w:r>
      <w:r w:rsidRPr="00FA1758">
        <w:rPr>
          <w:rFonts w:ascii="Times New Roman" w:eastAsia="Times New Roman" w:hAnsi="Times New Roman"/>
        </w:rPr>
        <w:t>pozwolenia na stosowanie procedury uszlachetniania czynnego w systemie ceł zwrotnych oraz procedury przetwarzania pod kontrolą celną, wydane na podstawie dotychczasowych przepisów (WKC, RWKC), które obowiązują w dniu 1 maja 2016 r. pozostają ważne do końca danego okresu ważności (terminu ważności) lub do dnia 1 maja 2019 r., w zależności od tego, co nastąpi wcześniej, natomiast przywóz towarów nieunijnych na mocy takich pozwoleń po dniu 30.04.2016r. możliwy będzie wyłącznie na podstawie przepisów nowego prawa unijnego dotyczących procedury uszlachetniania czynnego. W polu 44 zgłoszenia należy podać numer pozwolenia na procedurę uszlachetniania czynnego w systemie ceł zwrotnych albo procedury przetwarzania pod kontrolą celną, ale w polu 37 zgłoszenia, jako procedurę wnioskowaną, należy wpisać kod „51”.</w:t>
      </w:r>
    </w:p>
    <w:p w:rsidR="0073065F" w:rsidRPr="00FA1758" w:rsidRDefault="0073065F" w:rsidP="0073065F">
      <w:pPr>
        <w:widowControl w:val="0"/>
        <w:tabs>
          <w:tab w:val="num" w:pos="851"/>
        </w:tabs>
        <w:jc w:val="both"/>
        <w:rPr>
          <w:rFonts w:ascii="Times New Roman" w:eastAsia="Times New Roman" w:hAnsi="Times New Roman"/>
          <w:bCs/>
        </w:rPr>
      </w:pPr>
    </w:p>
    <w:p w:rsidR="0073065F" w:rsidRPr="00FA1758" w:rsidRDefault="0073065F" w:rsidP="0073065F">
      <w:pPr>
        <w:widowControl w:val="0"/>
        <w:tabs>
          <w:tab w:val="num" w:pos="851"/>
        </w:tabs>
        <w:ind w:left="851"/>
        <w:jc w:val="both"/>
        <w:rPr>
          <w:rFonts w:ascii="Times New Roman" w:eastAsia="Times New Roman" w:hAnsi="Times New Roman"/>
          <w:bCs/>
        </w:rPr>
      </w:pPr>
      <w:r w:rsidRPr="00FA1758">
        <w:rPr>
          <w:rFonts w:ascii="Times New Roman" w:eastAsia="Times New Roman" w:hAnsi="Times New Roman"/>
          <w:b/>
        </w:rPr>
        <w:t>Uwaga !</w:t>
      </w:r>
      <w:r w:rsidRPr="00FA1758">
        <w:rPr>
          <w:rFonts w:ascii="Times New Roman" w:eastAsia="Times New Roman" w:hAnsi="Times New Roman"/>
          <w:bCs/>
        </w:rPr>
        <w:t xml:space="preserve"> W przypadku pozwolenia </w:t>
      </w:r>
      <w:r w:rsidRPr="00FA1758">
        <w:rPr>
          <w:rFonts w:ascii="Times New Roman" w:eastAsia="Times New Roman" w:hAnsi="Times New Roman"/>
        </w:rPr>
        <w:t>obejmującego więcej niż jedno państwo członkowskie</w:t>
      </w:r>
      <w:r w:rsidRPr="00FA1758">
        <w:rPr>
          <w:rFonts w:ascii="Times New Roman" w:eastAsia="Times New Roman" w:hAnsi="Times New Roman"/>
          <w:bCs/>
        </w:rPr>
        <w:t xml:space="preserve"> w miejscu przeznaczonym dla kodu procedury należy wpisać literę </w:t>
      </w:r>
      <w:r w:rsidRPr="00FA1758">
        <w:rPr>
          <w:rFonts w:ascii="Times New Roman" w:eastAsia="Times New Roman" w:hAnsi="Times New Roman"/>
          <w:b/>
        </w:rPr>
        <w:t>„P”</w:t>
      </w:r>
      <w:r w:rsidRPr="00FA1758">
        <w:rPr>
          <w:rFonts w:ascii="Times New Roman" w:eastAsia="Times New Roman" w:hAnsi="Times New Roman"/>
          <w:bCs/>
        </w:rPr>
        <w:t xml:space="preserve">. </w:t>
      </w:r>
      <w:r w:rsidRPr="00FA1758">
        <w:rPr>
          <w:rFonts w:ascii="Times New Roman" w:eastAsia="Times New Roman" w:hAnsi="Times New Roman"/>
          <w:i/>
          <w:iCs/>
        </w:rPr>
        <w:t>Przykład: 04PL440000P0001.</w:t>
      </w:r>
    </w:p>
    <w:p w:rsidR="0073065F" w:rsidRPr="00FA1758" w:rsidRDefault="0073065F" w:rsidP="0073065F">
      <w:pPr>
        <w:rPr>
          <w:rFonts w:ascii="Times New Roman" w:eastAsia="Times New Roman" w:hAnsi="Times New Roman"/>
        </w:rPr>
      </w:pPr>
    </w:p>
    <w:p w:rsidR="0073065F" w:rsidRPr="00FA1758" w:rsidRDefault="0073065F" w:rsidP="0073065F">
      <w:pPr>
        <w:widowControl w:val="0"/>
        <w:numPr>
          <w:ilvl w:val="0"/>
          <w:numId w:val="4"/>
        </w:numPr>
        <w:tabs>
          <w:tab w:val="num" w:pos="142"/>
          <w:tab w:val="num" w:pos="719"/>
        </w:tabs>
        <w:ind w:left="709" w:hanging="425"/>
        <w:jc w:val="both"/>
        <w:rPr>
          <w:rFonts w:ascii="Times New Roman" w:eastAsia="Times New Roman" w:hAnsi="Times New Roman"/>
        </w:rPr>
      </w:pPr>
      <w:r w:rsidRPr="00FA1758">
        <w:rPr>
          <w:rFonts w:ascii="Times New Roman" w:eastAsia="Times New Roman" w:hAnsi="Times New Roman"/>
          <w:b/>
          <w:bCs/>
        </w:rPr>
        <w:t xml:space="preserve">wyróżnik cyfrowy </w:t>
      </w:r>
      <w:r w:rsidRPr="00FA1758">
        <w:rPr>
          <w:rFonts w:ascii="Times New Roman" w:eastAsia="Times New Roman" w:hAnsi="Times New Roman"/>
          <w:bCs/>
        </w:rPr>
        <w:t>(numer ewidencyjny) pozwoleń wydawanych przez dany urząd celny (n4).</w:t>
      </w:r>
      <w:r w:rsidRPr="00FA1758">
        <w:rPr>
          <w:rFonts w:ascii="Times New Roman" w:eastAsia="Times New Roman" w:hAnsi="Times New Roman"/>
        </w:rPr>
        <w:t xml:space="preserve"> </w:t>
      </w:r>
      <w:r w:rsidRPr="00FA1758">
        <w:rPr>
          <w:rFonts w:ascii="Times New Roman" w:eastAsia="Times New Roman" w:hAnsi="Times New Roman"/>
          <w:b/>
        </w:rPr>
        <w:t xml:space="preserve">W przypadku </w:t>
      </w:r>
      <w:r w:rsidRPr="00FA1758">
        <w:rPr>
          <w:rFonts w:ascii="Times New Roman" w:eastAsia="Times New Roman" w:hAnsi="Times New Roman"/>
          <w:b/>
          <w:bCs/>
        </w:rPr>
        <w:t xml:space="preserve">pozwolenia </w:t>
      </w:r>
      <w:r w:rsidRPr="00FA1758">
        <w:rPr>
          <w:rFonts w:ascii="Times New Roman" w:eastAsia="Times New Roman" w:hAnsi="Times New Roman"/>
          <w:b/>
        </w:rPr>
        <w:t>obejmującego więcej niż jedno państwo członkowskie</w:t>
      </w:r>
      <w:r w:rsidRPr="00FA1758">
        <w:rPr>
          <w:rFonts w:ascii="Times New Roman" w:eastAsia="Times New Roman" w:hAnsi="Times New Roman"/>
          <w:bCs/>
        </w:rPr>
        <w:t xml:space="preserve"> </w:t>
      </w:r>
      <w:r w:rsidRPr="00FA1758">
        <w:rPr>
          <w:rFonts w:ascii="Times New Roman" w:eastAsia="Times New Roman" w:hAnsi="Times New Roman"/>
        </w:rPr>
        <w:t>ewidencja prowadzona jest przez izbę celną w sposób ciągły tj. kolejne pozwolenie otrzymuje kolejny numer ewidencyjny bez podziału na poszczególne procedury</w:t>
      </w:r>
      <w:r w:rsidRPr="00FA1758">
        <w:rPr>
          <w:rFonts w:ascii="Times New Roman" w:eastAsia="Times New Roman" w:hAnsi="Times New Roman"/>
          <w:bCs/>
        </w:rPr>
        <w:t>.</w:t>
      </w:r>
      <w:r w:rsidRPr="00FA1758">
        <w:rPr>
          <w:rFonts w:ascii="Times New Roman" w:eastAsia="Times New Roman" w:hAnsi="Times New Roman"/>
        </w:rPr>
        <w:t xml:space="preserve"> Natomiast w przypadku pozwolenia zwykłego ewidencja prowadzona jest przez urząd celny odrębnie dla każdej procedury. </w:t>
      </w:r>
    </w:p>
    <w:p w:rsidR="0073065F" w:rsidRPr="00FA1758" w:rsidRDefault="0073065F" w:rsidP="0073065F">
      <w:pPr>
        <w:rPr>
          <w:rFonts w:ascii="Times New Roman" w:eastAsia="Times New Roman" w:hAnsi="Times New Roman"/>
        </w:rPr>
      </w:pPr>
    </w:p>
    <w:p w:rsidR="0073065F" w:rsidRPr="00FA1758" w:rsidRDefault="0073065F" w:rsidP="0073065F">
      <w:pPr>
        <w:jc w:val="both"/>
        <w:rPr>
          <w:rFonts w:ascii="Times New Roman" w:eastAsia="Times New Roman" w:hAnsi="Times New Roman"/>
        </w:rPr>
      </w:pPr>
    </w:p>
    <w:p w:rsidR="0073065F" w:rsidRPr="00FA1758" w:rsidRDefault="0073065F" w:rsidP="0073065F">
      <w:pPr>
        <w:widowControl w:val="0"/>
        <w:jc w:val="both"/>
        <w:rPr>
          <w:rFonts w:ascii="Times New Roman" w:eastAsia="Times New Roman" w:hAnsi="Times New Roman"/>
          <w:b/>
        </w:rPr>
      </w:pPr>
      <w:r w:rsidRPr="00FA1758">
        <w:rPr>
          <w:rFonts w:ascii="Times New Roman" w:eastAsia="Times New Roman" w:hAnsi="Times New Roman"/>
          <w:b/>
        </w:rPr>
        <w:lastRenderedPageBreak/>
        <w:t xml:space="preserve">Uwaga ! W zgłoszeniu celnym dokonywanym w formie pisemnej numer pozwolenia wpisuje się bez użycia ukośników.  </w:t>
      </w:r>
    </w:p>
    <w:p w:rsidR="0073065F" w:rsidRPr="00FA1758" w:rsidRDefault="0073065F" w:rsidP="0073065F">
      <w:pPr>
        <w:widowControl w:val="0"/>
        <w:jc w:val="both"/>
        <w:rPr>
          <w:rFonts w:ascii="Times New Roman" w:eastAsia="Times New Roman" w:hAnsi="Times New Roman"/>
        </w:rPr>
      </w:pPr>
    </w:p>
    <w:p w:rsidR="0073065F" w:rsidRPr="00FA1758" w:rsidRDefault="0073065F" w:rsidP="0073065F">
      <w:pPr>
        <w:widowControl w:val="0"/>
        <w:tabs>
          <w:tab w:val="num" w:pos="0"/>
        </w:tabs>
        <w:jc w:val="both"/>
        <w:rPr>
          <w:rFonts w:ascii="Times New Roman" w:eastAsia="Times New Roman" w:hAnsi="Times New Roman"/>
          <w:i/>
          <w:iCs/>
        </w:rPr>
      </w:pPr>
      <w:r w:rsidRPr="00FA1758">
        <w:rPr>
          <w:rFonts w:ascii="Times New Roman" w:eastAsia="Times New Roman" w:hAnsi="Times New Roman"/>
          <w:i/>
          <w:iCs/>
        </w:rPr>
        <w:t xml:space="preserve">Przykład: 04PL445000D0001 – pozwolenie na stosowanie procedury specjalnej w postaci </w:t>
      </w:r>
      <w:r w:rsidRPr="00FA1758">
        <w:rPr>
          <w:rFonts w:ascii="Times New Roman" w:eastAsia="Times New Roman" w:hAnsi="Times New Roman"/>
          <w:bCs/>
          <w:i/>
          <w:iCs/>
        </w:rPr>
        <w:t xml:space="preserve">uszlachetniania czynnego, </w:t>
      </w:r>
      <w:r w:rsidRPr="00FA1758">
        <w:rPr>
          <w:rFonts w:ascii="Times New Roman" w:eastAsia="Times New Roman" w:hAnsi="Times New Roman"/>
          <w:i/>
          <w:iCs/>
        </w:rPr>
        <w:t>wydane przez Naczelnika Urzędu Celnego w Pruszkowie, któremu przydzielił on wyróżnik cyfrowy 0001.</w:t>
      </w:r>
    </w:p>
    <w:p w:rsidR="0073065F" w:rsidRPr="00FA1758" w:rsidRDefault="0073065F" w:rsidP="0073065F">
      <w:pPr>
        <w:jc w:val="both"/>
        <w:rPr>
          <w:rFonts w:ascii="Times New Roman" w:eastAsia="Times New Roman" w:hAnsi="Times New Roman"/>
          <w:b/>
          <w:bCs/>
        </w:rPr>
      </w:pPr>
    </w:p>
    <w:p w:rsidR="0073065F" w:rsidRPr="00FA1758" w:rsidRDefault="0073065F" w:rsidP="0073065F">
      <w:pPr>
        <w:jc w:val="both"/>
        <w:rPr>
          <w:rFonts w:ascii="Times New Roman" w:eastAsia="Times New Roman" w:hAnsi="Times New Roman"/>
          <w:b/>
          <w:bCs/>
        </w:rPr>
      </w:pPr>
    </w:p>
    <w:p w:rsidR="0073065F" w:rsidRPr="00FA1758" w:rsidRDefault="0073065F" w:rsidP="0073065F">
      <w:pPr>
        <w:jc w:val="both"/>
        <w:rPr>
          <w:rFonts w:ascii="Times New Roman" w:eastAsia="Times New Roman" w:hAnsi="Times New Roman"/>
          <w:b/>
          <w:bCs/>
        </w:rPr>
      </w:pPr>
      <w:r w:rsidRPr="00FA1758">
        <w:rPr>
          <w:rFonts w:ascii="Times New Roman" w:eastAsia="Times New Roman" w:hAnsi="Times New Roman"/>
          <w:b/>
          <w:bCs/>
        </w:rPr>
        <w:t xml:space="preserve">Zasady dotyczące pozwoleń na stosowanie </w:t>
      </w:r>
      <w:r w:rsidRPr="00FA1758">
        <w:rPr>
          <w:rFonts w:ascii="Times New Roman" w:eastAsia="Times New Roman" w:hAnsi="Times New Roman"/>
          <w:b/>
        </w:rPr>
        <w:t xml:space="preserve">procedur specjalnych </w:t>
      </w:r>
      <w:r w:rsidRPr="00FA1758">
        <w:rPr>
          <w:rFonts w:ascii="Times New Roman" w:eastAsia="Times New Roman" w:hAnsi="Times New Roman"/>
          <w:b/>
          <w:bCs/>
        </w:rPr>
        <w:t>wydanych od dnia 12 stycznia 2017 r. są następujące:</w:t>
      </w:r>
    </w:p>
    <w:p w:rsidR="0073065F" w:rsidRPr="00FA1758" w:rsidRDefault="0073065F" w:rsidP="0073065F">
      <w:pPr>
        <w:spacing w:before="120"/>
        <w:jc w:val="both"/>
        <w:rPr>
          <w:rFonts w:ascii="Times New Roman" w:eastAsia="Times New Roman" w:hAnsi="Times New Roman"/>
        </w:rPr>
      </w:pPr>
      <w:r w:rsidRPr="00FA1758">
        <w:rPr>
          <w:rFonts w:ascii="Times New Roman" w:eastAsia="Times New Roman" w:hAnsi="Times New Roman"/>
        </w:rPr>
        <w:t>Na strukturę numeru pozwolenia (an17) składają się kolejno następujące po sobie elementy:</w:t>
      </w:r>
    </w:p>
    <w:p w:rsidR="0073065F" w:rsidRPr="00FA1758" w:rsidRDefault="0073065F" w:rsidP="0073065F">
      <w:pPr>
        <w:numPr>
          <w:ilvl w:val="0"/>
          <w:numId w:val="7"/>
        </w:numPr>
        <w:ind w:left="714" w:hanging="357"/>
        <w:jc w:val="both"/>
        <w:rPr>
          <w:rFonts w:ascii="Times New Roman" w:eastAsia="Calibri" w:hAnsi="Times New Roman"/>
          <w:bCs/>
          <w:lang w:eastAsia="pl-PL" w:bidi="pl-PL"/>
        </w:rPr>
      </w:pPr>
      <w:r w:rsidRPr="00FA1758">
        <w:rPr>
          <w:rFonts w:ascii="Times New Roman" w:eastAsia="Calibri" w:hAnsi="Times New Roman"/>
          <w:bCs/>
          <w:lang w:eastAsia="pl-PL" w:bidi="pl-PL"/>
        </w:rPr>
        <w:t>kod kraju – PL (a2);</w:t>
      </w:r>
    </w:p>
    <w:p w:rsidR="0073065F" w:rsidRPr="00FA1758" w:rsidRDefault="0073065F" w:rsidP="0073065F">
      <w:pPr>
        <w:numPr>
          <w:ilvl w:val="0"/>
          <w:numId w:val="7"/>
        </w:numPr>
        <w:ind w:left="714" w:hanging="357"/>
        <w:jc w:val="both"/>
        <w:rPr>
          <w:rFonts w:ascii="Times New Roman" w:eastAsia="Calibri" w:hAnsi="Times New Roman"/>
          <w:bCs/>
          <w:lang w:eastAsia="pl-PL" w:bidi="pl-PL"/>
        </w:rPr>
      </w:pPr>
      <w:r w:rsidRPr="00FA1758">
        <w:rPr>
          <w:rFonts w:ascii="Times New Roman" w:eastAsia="Calibri" w:hAnsi="Times New Roman"/>
          <w:bCs/>
          <w:lang w:eastAsia="pl-PL" w:bidi="pl-PL"/>
        </w:rPr>
        <w:t xml:space="preserve">typ decyzji – odpowiednio: </w:t>
      </w:r>
    </w:p>
    <w:p w:rsidR="0073065F" w:rsidRPr="00FA1758" w:rsidRDefault="0073065F" w:rsidP="0073065F">
      <w:pPr>
        <w:numPr>
          <w:ilvl w:val="0"/>
          <w:numId w:val="8"/>
        </w:numPr>
        <w:jc w:val="both"/>
        <w:rPr>
          <w:rFonts w:ascii="Times New Roman" w:eastAsia="Calibri" w:hAnsi="Times New Roman"/>
          <w:bCs/>
          <w:lang w:eastAsia="pl-PL" w:bidi="pl-PL"/>
        </w:rPr>
      </w:pPr>
      <w:r w:rsidRPr="00FA1758">
        <w:rPr>
          <w:rFonts w:ascii="Times New Roman" w:eastAsia="Calibri" w:hAnsi="Times New Roman"/>
          <w:bCs/>
          <w:lang w:eastAsia="pl-PL" w:bidi="pl-PL"/>
        </w:rPr>
        <w:t xml:space="preserve">IPO – dla uszlachetniania czynnego, </w:t>
      </w:r>
    </w:p>
    <w:p w:rsidR="0073065F" w:rsidRPr="00FA1758" w:rsidRDefault="0073065F" w:rsidP="0073065F">
      <w:pPr>
        <w:numPr>
          <w:ilvl w:val="0"/>
          <w:numId w:val="8"/>
        </w:numPr>
        <w:jc w:val="both"/>
        <w:rPr>
          <w:rFonts w:ascii="Times New Roman" w:eastAsia="Calibri" w:hAnsi="Times New Roman"/>
          <w:bCs/>
          <w:lang w:eastAsia="pl-PL" w:bidi="pl-PL"/>
        </w:rPr>
      </w:pPr>
      <w:r w:rsidRPr="00FA1758">
        <w:rPr>
          <w:rFonts w:ascii="Times New Roman" w:eastAsia="Calibri" w:hAnsi="Times New Roman"/>
          <w:bCs/>
          <w:lang w:eastAsia="pl-PL" w:bidi="pl-PL"/>
        </w:rPr>
        <w:t xml:space="preserve">OPO – dla uszlachetniania biernego, </w:t>
      </w:r>
    </w:p>
    <w:p w:rsidR="0073065F" w:rsidRPr="00FA1758" w:rsidRDefault="0073065F" w:rsidP="0073065F">
      <w:pPr>
        <w:numPr>
          <w:ilvl w:val="0"/>
          <w:numId w:val="8"/>
        </w:numPr>
        <w:jc w:val="both"/>
        <w:rPr>
          <w:rFonts w:ascii="Times New Roman" w:eastAsia="Calibri" w:hAnsi="Times New Roman"/>
          <w:bCs/>
          <w:lang w:eastAsia="pl-PL" w:bidi="pl-PL"/>
        </w:rPr>
      </w:pPr>
      <w:r w:rsidRPr="00FA1758">
        <w:rPr>
          <w:rFonts w:ascii="Times New Roman" w:eastAsia="Calibri" w:hAnsi="Times New Roman"/>
          <w:bCs/>
          <w:lang w:eastAsia="pl-PL" w:bidi="pl-PL"/>
        </w:rPr>
        <w:t xml:space="preserve">TEA – dla odprawy czasowej, </w:t>
      </w:r>
    </w:p>
    <w:p w:rsidR="0073065F" w:rsidRPr="00FA1758" w:rsidRDefault="0073065F" w:rsidP="0073065F">
      <w:pPr>
        <w:numPr>
          <w:ilvl w:val="0"/>
          <w:numId w:val="8"/>
        </w:numPr>
        <w:jc w:val="both"/>
        <w:rPr>
          <w:rFonts w:ascii="Times New Roman" w:eastAsia="Calibri" w:hAnsi="Times New Roman"/>
          <w:bCs/>
          <w:lang w:eastAsia="pl-PL" w:bidi="pl-PL"/>
        </w:rPr>
      </w:pPr>
      <w:r w:rsidRPr="00FA1758">
        <w:rPr>
          <w:rFonts w:ascii="Times New Roman" w:eastAsia="Calibri" w:hAnsi="Times New Roman"/>
          <w:bCs/>
          <w:lang w:eastAsia="pl-PL" w:bidi="pl-PL"/>
        </w:rPr>
        <w:t>EUS – dla procedury końcowego przeznaczenia (a3);</w:t>
      </w:r>
    </w:p>
    <w:p w:rsidR="0073065F" w:rsidRPr="00FA1758" w:rsidRDefault="0073065F" w:rsidP="0073065F">
      <w:pPr>
        <w:numPr>
          <w:ilvl w:val="0"/>
          <w:numId w:val="7"/>
        </w:numPr>
        <w:ind w:left="714" w:hanging="357"/>
        <w:contextualSpacing/>
        <w:jc w:val="both"/>
        <w:rPr>
          <w:rFonts w:ascii="Times New Roman" w:eastAsia="Calibri" w:hAnsi="Times New Roman"/>
          <w:bCs/>
          <w:lang w:eastAsia="pl-PL" w:bidi="pl-PL"/>
        </w:rPr>
      </w:pPr>
      <w:r w:rsidRPr="00FA1758">
        <w:rPr>
          <w:rFonts w:ascii="Times New Roman" w:eastAsia="Calibri" w:hAnsi="Times New Roman"/>
          <w:bCs/>
          <w:lang w:eastAsia="pl-PL" w:bidi="pl-PL"/>
        </w:rPr>
        <w:t>kod urzędu celnego, który wydał pozwolenie (n6);</w:t>
      </w:r>
    </w:p>
    <w:p w:rsidR="0073065F" w:rsidRPr="00FA1758" w:rsidRDefault="0073065F" w:rsidP="0073065F">
      <w:pPr>
        <w:numPr>
          <w:ilvl w:val="0"/>
          <w:numId w:val="7"/>
        </w:numPr>
        <w:spacing w:before="120"/>
        <w:ind w:left="714" w:hanging="357"/>
        <w:contextualSpacing/>
        <w:jc w:val="both"/>
        <w:rPr>
          <w:rFonts w:ascii="Times New Roman" w:eastAsia="Calibri" w:hAnsi="Times New Roman"/>
          <w:bCs/>
          <w:lang w:eastAsia="pl-PL" w:bidi="pl-PL"/>
        </w:rPr>
      </w:pPr>
      <w:r w:rsidRPr="00FA1758">
        <w:rPr>
          <w:rFonts w:ascii="Times New Roman" w:eastAsia="Calibri" w:hAnsi="Times New Roman"/>
          <w:bCs/>
          <w:lang w:eastAsia="pl-PL" w:bidi="pl-PL"/>
        </w:rPr>
        <w:t xml:space="preserve">rok wydania pozwolenia (n2) </w:t>
      </w:r>
      <w:r w:rsidRPr="00FA1758">
        <w:rPr>
          <w:rFonts w:ascii="Times New Roman" w:eastAsia="Times New Roman" w:hAnsi="Times New Roman"/>
        </w:rPr>
        <w:t>np. dla roku 2017 należy wpisać „17”</w:t>
      </w:r>
      <w:r w:rsidRPr="00FA1758">
        <w:rPr>
          <w:rFonts w:ascii="Times New Roman" w:eastAsia="Calibri" w:hAnsi="Times New Roman"/>
          <w:bCs/>
          <w:lang w:eastAsia="pl-PL" w:bidi="pl-PL"/>
        </w:rPr>
        <w:t>;</w:t>
      </w:r>
    </w:p>
    <w:p w:rsidR="0073065F" w:rsidRPr="00FA1758" w:rsidRDefault="0073065F" w:rsidP="0073065F">
      <w:pPr>
        <w:numPr>
          <w:ilvl w:val="0"/>
          <w:numId w:val="7"/>
        </w:numPr>
        <w:spacing w:before="120"/>
        <w:contextualSpacing/>
        <w:jc w:val="both"/>
        <w:rPr>
          <w:rFonts w:ascii="Times New Roman" w:eastAsia="Times New Roman" w:hAnsi="Times New Roman"/>
          <w:lang w:eastAsia="pl-PL"/>
        </w:rPr>
      </w:pPr>
      <w:r w:rsidRPr="00FA1758">
        <w:rPr>
          <w:rFonts w:ascii="Times New Roman" w:eastAsia="Times New Roman" w:hAnsi="Times New Roman"/>
          <w:lang w:eastAsia="pl-PL"/>
        </w:rPr>
        <w:t>wyróżnik cyfrowy (numer</w:t>
      </w:r>
      <w:r w:rsidRPr="00FA1758">
        <w:rPr>
          <w:rFonts w:ascii="Times New Roman" w:eastAsia="Times New Roman" w:hAnsi="Times New Roman"/>
          <w:b/>
          <w:lang w:eastAsia="pl-PL"/>
        </w:rPr>
        <w:t xml:space="preserve"> </w:t>
      </w:r>
      <w:r w:rsidRPr="00FA1758">
        <w:rPr>
          <w:rFonts w:ascii="Times New Roman" w:eastAsia="Times New Roman" w:hAnsi="Times New Roman"/>
          <w:lang w:eastAsia="pl-PL"/>
        </w:rPr>
        <w:t>ewidencyjny) pozwoleń wydanych przez dany urząd celny (n4).</w:t>
      </w:r>
    </w:p>
    <w:p w:rsidR="0073065F" w:rsidRPr="00FA1758" w:rsidRDefault="0073065F" w:rsidP="0073065F">
      <w:pPr>
        <w:widowControl w:val="0"/>
        <w:ind w:left="720"/>
        <w:jc w:val="both"/>
        <w:rPr>
          <w:rFonts w:ascii="Times New Roman" w:eastAsia="Times New Roman" w:hAnsi="Times New Roman"/>
          <w:b/>
        </w:rPr>
      </w:pPr>
    </w:p>
    <w:p w:rsidR="0073065F" w:rsidRPr="00FA1758" w:rsidRDefault="0073065F" w:rsidP="0073065F">
      <w:pPr>
        <w:jc w:val="both"/>
        <w:rPr>
          <w:rFonts w:ascii="Times New Roman" w:hAnsi="Times New Roman"/>
          <w:b/>
          <w:bCs/>
        </w:rPr>
      </w:pPr>
      <w:r w:rsidRPr="00FA1758">
        <w:rPr>
          <w:rFonts w:ascii="Times New Roman" w:hAnsi="Times New Roman"/>
          <w:b/>
          <w:bCs/>
        </w:rPr>
        <w:t xml:space="preserve">Uwaga ! </w:t>
      </w:r>
      <w:r w:rsidRPr="00FA1758">
        <w:rPr>
          <w:rFonts w:ascii="Times New Roman" w:hAnsi="Times New Roman"/>
          <w:bCs/>
        </w:rPr>
        <w:t>W zgłoszeniu celnym numer pozwolenia wpisuje się jako ciąg znaków alfanumerycznych (bez użycia ukośników, kropek, itp.).”.</w:t>
      </w:r>
    </w:p>
    <w:p w:rsidR="0073065F" w:rsidRPr="00FA1758" w:rsidRDefault="0073065F" w:rsidP="0073065F">
      <w:pPr>
        <w:widowControl w:val="0"/>
        <w:ind w:left="720"/>
        <w:contextualSpacing/>
        <w:jc w:val="both"/>
        <w:rPr>
          <w:rFonts w:ascii="Times New Roman" w:eastAsia="Calibri" w:hAnsi="Times New Roman"/>
        </w:rPr>
      </w:pPr>
    </w:p>
    <w:p w:rsidR="0073065F" w:rsidRPr="00FA1758" w:rsidRDefault="0073065F" w:rsidP="0073065F">
      <w:pPr>
        <w:jc w:val="both"/>
        <w:rPr>
          <w:rFonts w:ascii="Times New Roman" w:eastAsia="Times New Roman" w:hAnsi="Times New Roman"/>
        </w:rPr>
      </w:pPr>
      <w:r w:rsidRPr="00FA1758">
        <w:rPr>
          <w:rFonts w:ascii="Times New Roman" w:eastAsia="Times New Roman" w:hAnsi="Times New Roman"/>
          <w:i/>
          <w:iCs/>
        </w:rPr>
        <w:t xml:space="preserve">Przykład: PLIPO445000170001 – pozwolenie na stosowanie procedury </w:t>
      </w:r>
      <w:r w:rsidRPr="00FA1758">
        <w:rPr>
          <w:rFonts w:ascii="Times New Roman" w:eastAsia="Times New Roman" w:hAnsi="Times New Roman"/>
          <w:bCs/>
          <w:i/>
          <w:iCs/>
        </w:rPr>
        <w:t xml:space="preserve">uszlachetniania czynnego </w:t>
      </w:r>
      <w:r w:rsidRPr="00FA1758">
        <w:rPr>
          <w:rFonts w:ascii="Times New Roman" w:eastAsia="Times New Roman" w:hAnsi="Times New Roman"/>
          <w:i/>
          <w:iCs/>
        </w:rPr>
        <w:t>wydane przez Naczelnika Urzędu Celnego w Pruszkowie, któremu przydzielił on wyróżnik cyfrowy 0001.</w:t>
      </w:r>
    </w:p>
    <w:p w:rsidR="0073065F" w:rsidRPr="00FA1758" w:rsidRDefault="0073065F" w:rsidP="0073065F">
      <w:pPr>
        <w:jc w:val="both"/>
        <w:rPr>
          <w:rFonts w:ascii="Times New Roman" w:eastAsia="Times New Roman" w:hAnsi="Times New Roman"/>
          <w:b/>
        </w:rPr>
      </w:pPr>
    </w:p>
    <w:p w:rsidR="0073065F" w:rsidRPr="00FA1758" w:rsidRDefault="0073065F" w:rsidP="0073065F">
      <w:pPr>
        <w:ind w:left="360" w:hanging="360"/>
        <w:jc w:val="both"/>
        <w:rPr>
          <w:rFonts w:ascii="Times New Roman" w:eastAsia="Times New Roman" w:hAnsi="Times New Roman"/>
          <w:b/>
          <w:bCs/>
        </w:rPr>
      </w:pPr>
      <w:r w:rsidRPr="00FA1758">
        <w:rPr>
          <w:rFonts w:ascii="Times New Roman" w:eastAsia="Times New Roman" w:hAnsi="Times New Roman"/>
          <w:b/>
          <w:bCs/>
        </w:rPr>
        <w:t xml:space="preserve">c) </w:t>
      </w:r>
      <w:r w:rsidRPr="00FA1758">
        <w:rPr>
          <w:rFonts w:ascii="Times New Roman" w:eastAsia="Times New Roman" w:hAnsi="Times New Roman"/>
          <w:b/>
          <w:bCs/>
        </w:rPr>
        <w:tab/>
        <w:t>Numery pozwoleń na stosowanie procedur specjalnych wiążących więcej niż jedno państwo członkowskie wydane od dnia 2 października 2017 r. w systemie CD mają następującą strukturę:</w:t>
      </w:r>
    </w:p>
    <w:p w:rsidR="0073065F" w:rsidRPr="00FA1758" w:rsidRDefault="0073065F" w:rsidP="0073065F">
      <w:pPr>
        <w:ind w:left="360" w:hanging="360"/>
        <w:jc w:val="both"/>
        <w:rPr>
          <w:rFonts w:ascii="Times New Roman" w:eastAsia="Times New Roman" w:hAnsi="Times New Roman"/>
          <w:b/>
          <w:bCs/>
        </w:rPr>
      </w:pPr>
    </w:p>
    <w:p w:rsidR="0073065F" w:rsidRPr="00FA1758" w:rsidRDefault="0073065F" w:rsidP="0073065F">
      <w:pPr>
        <w:jc w:val="both"/>
        <w:rPr>
          <w:rFonts w:ascii="Times New Roman" w:eastAsia="Times New Roman" w:hAnsi="Times New Roman"/>
        </w:rPr>
      </w:pPr>
      <w:r w:rsidRPr="00FA1758">
        <w:rPr>
          <w:rFonts w:ascii="Times New Roman" w:eastAsia="Times New Roman" w:hAnsi="Times New Roman"/>
        </w:rPr>
        <w:t>Na strukturę numeru pozwolenia (an34) składają się kolejno następujące po sobie elementy:</w:t>
      </w:r>
    </w:p>
    <w:p w:rsidR="0073065F" w:rsidRPr="00FA1758" w:rsidRDefault="0073065F" w:rsidP="0073065F">
      <w:pPr>
        <w:numPr>
          <w:ilvl w:val="0"/>
          <w:numId w:val="7"/>
        </w:numPr>
        <w:ind w:left="714" w:hanging="357"/>
        <w:jc w:val="both"/>
        <w:rPr>
          <w:rFonts w:ascii="Times New Roman" w:eastAsia="Times New Roman" w:hAnsi="Times New Roman"/>
        </w:rPr>
      </w:pPr>
      <w:r w:rsidRPr="00FA1758">
        <w:rPr>
          <w:rFonts w:ascii="Times New Roman" w:eastAsia="Times New Roman" w:hAnsi="Times New Roman"/>
        </w:rPr>
        <w:t>kod kraju – PL (a2);</w:t>
      </w:r>
    </w:p>
    <w:p w:rsidR="0073065F" w:rsidRPr="00FA1758" w:rsidRDefault="0073065F" w:rsidP="0073065F">
      <w:pPr>
        <w:numPr>
          <w:ilvl w:val="0"/>
          <w:numId w:val="7"/>
        </w:numPr>
        <w:ind w:left="714" w:hanging="357"/>
        <w:jc w:val="both"/>
        <w:rPr>
          <w:rFonts w:ascii="Times New Roman" w:eastAsia="Times New Roman" w:hAnsi="Times New Roman"/>
        </w:rPr>
      </w:pPr>
      <w:r w:rsidRPr="00FA1758">
        <w:rPr>
          <w:rFonts w:ascii="Times New Roman" w:eastAsia="Times New Roman" w:hAnsi="Times New Roman"/>
        </w:rPr>
        <w:t xml:space="preserve">typ decyzji – odpowiednio: </w:t>
      </w:r>
    </w:p>
    <w:p w:rsidR="0073065F" w:rsidRPr="00FA1758" w:rsidRDefault="0073065F" w:rsidP="0073065F">
      <w:pPr>
        <w:numPr>
          <w:ilvl w:val="0"/>
          <w:numId w:val="8"/>
        </w:numPr>
        <w:jc w:val="both"/>
        <w:rPr>
          <w:rFonts w:ascii="Times New Roman" w:eastAsia="Times New Roman" w:hAnsi="Times New Roman"/>
          <w:lang w:eastAsia="pl-PL"/>
        </w:rPr>
      </w:pPr>
      <w:r w:rsidRPr="00FA1758">
        <w:rPr>
          <w:rFonts w:ascii="Times New Roman" w:eastAsia="Times New Roman" w:hAnsi="Times New Roman"/>
        </w:rPr>
        <w:t xml:space="preserve">IPO – dla uszlachetniania czynnego, </w:t>
      </w:r>
    </w:p>
    <w:p w:rsidR="0073065F" w:rsidRPr="00FA1758" w:rsidRDefault="0073065F" w:rsidP="0073065F">
      <w:pPr>
        <w:numPr>
          <w:ilvl w:val="0"/>
          <w:numId w:val="8"/>
        </w:numPr>
        <w:jc w:val="both"/>
        <w:rPr>
          <w:rFonts w:ascii="Times New Roman" w:eastAsia="Times New Roman" w:hAnsi="Times New Roman"/>
        </w:rPr>
      </w:pPr>
      <w:r w:rsidRPr="00FA1758">
        <w:rPr>
          <w:rFonts w:ascii="Times New Roman" w:eastAsia="Times New Roman" w:hAnsi="Times New Roman"/>
        </w:rPr>
        <w:t xml:space="preserve">OPO – dla uszlachetniania biernego, </w:t>
      </w:r>
    </w:p>
    <w:p w:rsidR="0073065F" w:rsidRPr="00FA1758" w:rsidRDefault="0073065F" w:rsidP="0073065F">
      <w:pPr>
        <w:numPr>
          <w:ilvl w:val="0"/>
          <w:numId w:val="8"/>
        </w:numPr>
        <w:jc w:val="both"/>
        <w:rPr>
          <w:rFonts w:ascii="Times New Roman" w:eastAsia="Times New Roman" w:hAnsi="Times New Roman"/>
        </w:rPr>
      </w:pPr>
      <w:r w:rsidRPr="00FA1758">
        <w:rPr>
          <w:rFonts w:ascii="Times New Roman" w:eastAsia="Times New Roman" w:hAnsi="Times New Roman"/>
        </w:rPr>
        <w:t xml:space="preserve">TEA – dla odprawy czasowej, </w:t>
      </w:r>
    </w:p>
    <w:p w:rsidR="0073065F" w:rsidRPr="00FA1758" w:rsidRDefault="0073065F" w:rsidP="0073065F">
      <w:pPr>
        <w:numPr>
          <w:ilvl w:val="0"/>
          <w:numId w:val="8"/>
        </w:numPr>
        <w:jc w:val="both"/>
        <w:rPr>
          <w:rFonts w:ascii="Times New Roman" w:eastAsia="Times New Roman" w:hAnsi="Times New Roman"/>
        </w:rPr>
      </w:pPr>
      <w:r w:rsidRPr="00FA1758">
        <w:rPr>
          <w:rFonts w:ascii="Times New Roman" w:eastAsia="Times New Roman" w:hAnsi="Times New Roman"/>
        </w:rPr>
        <w:t>EUS – dla procedury końcowego przeznaczenia (a3);</w:t>
      </w:r>
    </w:p>
    <w:p w:rsidR="0073065F" w:rsidRPr="00FA1758" w:rsidRDefault="0073065F" w:rsidP="0073065F">
      <w:pPr>
        <w:numPr>
          <w:ilvl w:val="0"/>
          <w:numId w:val="7"/>
        </w:numPr>
        <w:ind w:left="714" w:hanging="357"/>
        <w:contextualSpacing/>
        <w:jc w:val="both"/>
        <w:rPr>
          <w:rFonts w:ascii="Times New Roman" w:eastAsia="Times New Roman" w:hAnsi="Times New Roman"/>
        </w:rPr>
      </w:pPr>
      <w:r w:rsidRPr="00FA1758">
        <w:rPr>
          <w:rFonts w:ascii="Times New Roman" w:eastAsia="Times New Roman" w:hAnsi="Times New Roman"/>
        </w:rPr>
        <w:t>kod urzędu celno-skarbowego, który wydał pozwolenie (an8);</w:t>
      </w:r>
    </w:p>
    <w:p w:rsidR="0073065F" w:rsidRPr="00FA1758" w:rsidRDefault="0073065F" w:rsidP="0073065F">
      <w:pPr>
        <w:numPr>
          <w:ilvl w:val="0"/>
          <w:numId w:val="7"/>
        </w:numPr>
        <w:ind w:left="714" w:hanging="357"/>
        <w:contextualSpacing/>
        <w:jc w:val="both"/>
        <w:rPr>
          <w:rFonts w:ascii="Times New Roman" w:eastAsia="Times New Roman" w:hAnsi="Times New Roman"/>
        </w:rPr>
      </w:pPr>
      <w:r w:rsidRPr="00FA1758">
        <w:rPr>
          <w:rFonts w:ascii="Times New Roman" w:eastAsia="Times New Roman" w:hAnsi="Times New Roman"/>
        </w:rPr>
        <w:t>myślnik (-) rozdzielający kod urzędu celno-skarbowego z rokiem wydania pozwolenia;</w:t>
      </w:r>
    </w:p>
    <w:p w:rsidR="0073065F" w:rsidRPr="00FA1758" w:rsidRDefault="0073065F" w:rsidP="0073065F">
      <w:pPr>
        <w:numPr>
          <w:ilvl w:val="0"/>
          <w:numId w:val="7"/>
        </w:numPr>
        <w:ind w:left="714" w:hanging="357"/>
        <w:contextualSpacing/>
        <w:jc w:val="both"/>
        <w:rPr>
          <w:rFonts w:ascii="Times New Roman" w:eastAsia="Times New Roman" w:hAnsi="Times New Roman"/>
        </w:rPr>
      </w:pPr>
      <w:r w:rsidRPr="00FA1758">
        <w:rPr>
          <w:rFonts w:ascii="Times New Roman" w:eastAsia="Times New Roman" w:hAnsi="Times New Roman"/>
        </w:rPr>
        <w:t xml:space="preserve">rok wydania pozwolenia (n4) np. dla roku 2017 należy wpisać „2017”; </w:t>
      </w:r>
    </w:p>
    <w:p w:rsidR="0073065F" w:rsidRPr="00FA1758" w:rsidRDefault="0073065F" w:rsidP="0073065F">
      <w:pPr>
        <w:numPr>
          <w:ilvl w:val="0"/>
          <w:numId w:val="7"/>
        </w:numPr>
        <w:ind w:left="714" w:hanging="357"/>
        <w:contextualSpacing/>
        <w:jc w:val="both"/>
        <w:rPr>
          <w:rFonts w:ascii="Times New Roman" w:eastAsia="Times New Roman" w:hAnsi="Times New Roman"/>
        </w:rPr>
      </w:pPr>
      <w:r w:rsidRPr="00FA1758">
        <w:rPr>
          <w:rFonts w:ascii="Times New Roman" w:eastAsia="Times New Roman" w:hAnsi="Times New Roman"/>
        </w:rPr>
        <w:t>myślnik (-) rozdzielający rok wydania z wyróżnikiem cyfrowym (numerem ewidencyjnym);</w:t>
      </w:r>
    </w:p>
    <w:p w:rsidR="0073065F" w:rsidRPr="00FA1758" w:rsidRDefault="0073065F" w:rsidP="0073065F">
      <w:pPr>
        <w:numPr>
          <w:ilvl w:val="0"/>
          <w:numId w:val="7"/>
        </w:numPr>
        <w:contextualSpacing/>
        <w:jc w:val="both"/>
        <w:rPr>
          <w:rFonts w:ascii="Times New Roman" w:eastAsia="Times New Roman" w:hAnsi="Times New Roman"/>
          <w:lang w:eastAsia="pl-PL"/>
        </w:rPr>
      </w:pPr>
      <w:r w:rsidRPr="00FA1758">
        <w:rPr>
          <w:rFonts w:ascii="Times New Roman" w:eastAsia="Times New Roman" w:hAnsi="Times New Roman"/>
          <w:lang w:eastAsia="pl-PL"/>
        </w:rPr>
        <w:t>wyróżnik cyfrowy (numer</w:t>
      </w:r>
      <w:r w:rsidRPr="00FA1758">
        <w:rPr>
          <w:rFonts w:ascii="Times New Roman" w:eastAsia="Times New Roman" w:hAnsi="Times New Roman"/>
          <w:b/>
          <w:bCs/>
          <w:lang w:eastAsia="pl-PL"/>
        </w:rPr>
        <w:t xml:space="preserve"> </w:t>
      </w:r>
      <w:r w:rsidRPr="00FA1758">
        <w:rPr>
          <w:rFonts w:ascii="Times New Roman" w:eastAsia="Times New Roman" w:hAnsi="Times New Roman"/>
          <w:lang w:eastAsia="pl-PL"/>
        </w:rPr>
        <w:t xml:space="preserve">ewidencyjny) pozwoleń nadany automatycznie przez unijny system CD, na który to numer składają się dwa elementy: </w:t>
      </w:r>
      <w:r w:rsidRPr="00FA1758">
        <w:rPr>
          <w:rFonts w:ascii="Times New Roman" w:eastAsia="Times New Roman" w:hAnsi="Times New Roman"/>
          <w:color w:val="000000"/>
          <w:shd w:val="clear" w:color="auto" w:fill="FFFFFF"/>
          <w:lang w:eastAsia="pl-PL"/>
        </w:rPr>
        <w:t>przypadkowe znaki (ang. „</w:t>
      </w:r>
      <w:r w:rsidRPr="00FA1758">
        <w:rPr>
          <w:rFonts w:ascii="Times New Roman" w:eastAsia="Times New Roman" w:hAnsi="Times New Roman"/>
          <w:i/>
          <w:iCs/>
          <w:color w:val="000000"/>
          <w:shd w:val="clear" w:color="auto" w:fill="FFFFFF"/>
          <w:lang w:eastAsia="pl-PL"/>
        </w:rPr>
        <w:t>random characters</w:t>
      </w:r>
      <w:r w:rsidRPr="00FA1758">
        <w:rPr>
          <w:rFonts w:ascii="Times New Roman" w:eastAsia="Times New Roman" w:hAnsi="Times New Roman"/>
          <w:color w:val="000000"/>
          <w:shd w:val="clear" w:color="auto" w:fill="FFFFFF"/>
          <w:lang w:eastAsia="pl-PL"/>
        </w:rPr>
        <w:t xml:space="preserve">”) (a3) </w:t>
      </w:r>
      <w:r w:rsidRPr="00FA1758">
        <w:rPr>
          <w:rFonts w:ascii="Times New Roman" w:eastAsia="Times New Roman" w:hAnsi="Times New Roman"/>
          <w:lang w:eastAsia="pl-PL"/>
        </w:rPr>
        <w:t>oraz wyróżnik cyfrowy (n..12).</w:t>
      </w:r>
    </w:p>
    <w:p w:rsidR="0073065F" w:rsidRPr="00FA1758" w:rsidRDefault="0073065F" w:rsidP="0073065F">
      <w:pPr>
        <w:ind w:left="360"/>
        <w:jc w:val="both"/>
        <w:rPr>
          <w:rFonts w:ascii="Times New Roman" w:eastAsia="Times New Roman" w:hAnsi="Times New Roman"/>
          <w:b/>
          <w:bCs/>
        </w:rPr>
      </w:pPr>
    </w:p>
    <w:p w:rsidR="0073065F" w:rsidRPr="00FA1758" w:rsidRDefault="0073065F" w:rsidP="0073065F">
      <w:pPr>
        <w:jc w:val="both"/>
        <w:rPr>
          <w:rFonts w:ascii="Times New Roman" w:eastAsia="Times New Roman" w:hAnsi="Times New Roman"/>
          <w:b/>
          <w:bCs/>
        </w:rPr>
      </w:pPr>
      <w:r w:rsidRPr="00FA1758">
        <w:rPr>
          <w:rFonts w:ascii="Times New Roman" w:eastAsia="Times New Roman" w:hAnsi="Times New Roman"/>
          <w:b/>
          <w:bCs/>
        </w:rPr>
        <w:t xml:space="preserve">Uwaga ! </w:t>
      </w:r>
      <w:r w:rsidRPr="00FA1758">
        <w:rPr>
          <w:rFonts w:ascii="Times New Roman" w:eastAsia="Times New Roman" w:hAnsi="Times New Roman"/>
        </w:rPr>
        <w:t>W zgłoszeniu celnym numer pozwolenia wpisuje się jako ciąg znaków alfanumerycznych (bez użycia ukośników, myślników, kropek, itp.).”.</w:t>
      </w:r>
    </w:p>
    <w:p w:rsidR="0073065F" w:rsidRPr="00FA1758" w:rsidRDefault="0073065F" w:rsidP="0073065F">
      <w:pPr>
        <w:ind w:left="720"/>
        <w:contextualSpacing/>
        <w:jc w:val="both"/>
        <w:rPr>
          <w:rFonts w:ascii="Times New Roman" w:eastAsia="Times New Roman" w:hAnsi="Times New Roman"/>
        </w:rPr>
      </w:pPr>
    </w:p>
    <w:p w:rsidR="0073065F" w:rsidRDefault="0073065F" w:rsidP="0073065F">
      <w:pPr>
        <w:jc w:val="both"/>
        <w:rPr>
          <w:rFonts w:ascii="Times New Roman" w:eastAsia="Times New Roman" w:hAnsi="Times New Roman"/>
          <w:i/>
          <w:iCs/>
        </w:rPr>
      </w:pPr>
      <w:r w:rsidRPr="00FA1758">
        <w:rPr>
          <w:rFonts w:ascii="Times New Roman" w:eastAsia="Times New Roman" w:hAnsi="Times New Roman"/>
          <w:i/>
          <w:iCs/>
        </w:rPr>
        <w:t>Przykład: PLIPOPL445000-2017-ABC123 – pozwolenie na stosowanie procedury uszlachetniania czynnego wydane przez Naczelnika Urzędu Celno-Skarbowego, któremu system CDS przydzielił wyróżnik cyfrowy ABC123.”;</w:t>
      </w:r>
    </w:p>
    <w:p w:rsidR="0073065F" w:rsidRPr="00FA1758" w:rsidRDefault="0073065F" w:rsidP="0073065F">
      <w:pPr>
        <w:jc w:val="both"/>
        <w:rPr>
          <w:rFonts w:ascii="Times New Roman" w:eastAsia="Times New Roman" w:hAnsi="Times New Roman"/>
        </w:rPr>
      </w:pPr>
    </w:p>
    <w:p w:rsidR="0073065F" w:rsidRPr="004B4D7E" w:rsidRDefault="0073065F" w:rsidP="0073065F">
      <w:pPr>
        <w:spacing w:before="240"/>
        <w:ind w:firstLine="720"/>
        <w:jc w:val="both"/>
        <w:rPr>
          <w:rFonts w:ascii="Times New Roman" w:eastAsia="Times New Roman" w:hAnsi="Times New Roman"/>
          <w:b/>
          <w:bCs/>
        </w:rPr>
      </w:pPr>
      <w:r w:rsidRPr="004B4D7E">
        <w:rPr>
          <w:rFonts w:ascii="Times New Roman" w:hAnsi="Times New Roman"/>
          <w:b/>
        </w:rPr>
        <w:t>-</w:t>
      </w:r>
      <w:r>
        <w:rPr>
          <w:rFonts w:ascii="Times New Roman" w:hAnsi="Times New Roman"/>
          <w:b/>
        </w:rPr>
        <w:t xml:space="preserve">  w pkt 7 lit. b) </w:t>
      </w:r>
      <w:r w:rsidRPr="008924E1">
        <w:rPr>
          <w:rFonts w:ascii="Times New Roman" w:hAnsi="Times New Roman"/>
        </w:rPr>
        <w:t>(str. 170), otrzymuje następujące brzmienie</w:t>
      </w:r>
      <w:r>
        <w:rPr>
          <w:rFonts w:ascii="Times New Roman" w:hAnsi="Times New Roman"/>
        </w:rPr>
        <w:t>:</w:t>
      </w:r>
    </w:p>
    <w:p w:rsidR="0073065F" w:rsidRDefault="0073065F" w:rsidP="0073065F">
      <w:pPr>
        <w:spacing w:before="240"/>
        <w:jc w:val="both"/>
        <w:rPr>
          <w:rFonts w:ascii="Times New Roman" w:hAnsi="Times New Roman"/>
          <w:b/>
        </w:rPr>
      </w:pPr>
    </w:p>
    <w:p w:rsidR="0073065F" w:rsidRPr="00E23A65" w:rsidRDefault="0073065F" w:rsidP="0073065F">
      <w:pPr>
        <w:jc w:val="both"/>
        <w:rPr>
          <w:rFonts w:ascii="Times New Roman" w:hAnsi="Times New Roman"/>
          <w:bCs/>
        </w:rPr>
      </w:pPr>
      <w:r w:rsidRPr="00E23A65">
        <w:rPr>
          <w:rFonts w:ascii="Times New Roman" w:hAnsi="Times New Roman"/>
          <w:b/>
        </w:rPr>
        <w:t>b)</w:t>
      </w:r>
      <w:r w:rsidRPr="00E23A65">
        <w:rPr>
          <w:rFonts w:ascii="Times New Roman" w:hAnsi="Times New Roman"/>
        </w:rPr>
        <w:t xml:space="preserve"> </w:t>
      </w:r>
      <w:r w:rsidRPr="00E23A65">
        <w:rPr>
          <w:rFonts w:ascii="Times New Roman" w:hAnsi="Times New Roman"/>
          <w:b/>
        </w:rPr>
        <w:t>C504 –</w:t>
      </w:r>
      <w:r w:rsidRPr="00E23A65">
        <w:rPr>
          <w:rFonts w:ascii="Times New Roman" w:hAnsi="Times New Roman"/>
        </w:rPr>
        <w:t xml:space="preserve"> pozwolenie na uproszczone określanie elementów wartości celnej towarów na podstawie art. </w:t>
      </w:r>
      <w:r w:rsidRPr="00E23A65">
        <w:rPr>
          <w:rFonts w:ascii="Times New Roman" w:hAnsi="Times New Roman"/>
          <w:bCs/>
        </w:rPr>
        <w:t>73</w:t>
      </w:r>
      <w:r w:rsidRPr="00E23A65">
        <w:rPr>
          <w:rFonts w:ascii="Times New Roman" w:hAnsi="Times New Roman"/>
          <w:b/>
          <w:bCs/>
        </w:rPr>
        <w:t xml:space="preserve"> </w:t>
      </w:r>
      <w:r w:rsidRPr="00E23A65">
        <w:rPr>
          <w:rFonts w:ascii="Times New Roman" w:hAnsi="Times New Roman"/>
          <w:bCs/>
        </w:rPr>
        <w:t>UKC</w:t>
      </w:r>
      <w:r w:rsidRPr="00E23A65">
        <w:rPr>
          <w:rFonts w:ascii="Times New Roman" w:hAnsi="Times New Roman"/>
        </w:rPr>
        <w:t xml:space="preserve"> oraz art. 71 rozporządzenia delegowanego (UE) 2015/2446</w:t>
      </w:r>
      <w:r w:rsidRPr="00E23A65">
        <w:rPr>
          <w:rFonts w:ascii="Times New Roman" w:hAnsi="Times New Roman"/>
          <w:b/>
          <w:bCs/>
        </w:rPr>
        <w:t>.</w:t>
      </w:r>
    </w:p>
    <w:p w:rsidR="0073065F" w:rsidRPr="00E23A65" w:rsidRDefault="0073065F" w:rsidP="0073065F">
      <w:pPr>
        <w:rPr>
          <w:rFonts w:ascii="Times New Roman" w:hAnsi="Times New Roman"/>
        </w:rPr>
      </w:pPr>
    </w:p>
    <w:p w:rsidR="0073065F" w:rsidRPr="00E23A65" w:rsidRDefault="0073065F" w:rsidP="0073065F">
      <w:pPr>
        <w:jc w:val="both"/>
        <w:rPr>
          <w:rFonts w:ascii="Times New Roman" w:hAnsi="Times New Roman"/>
          <w:bCs/>
        </w:rPr>
      </w:pPr>
    </w:p>
    <w:p w:rsidR="0073065F" w:rsidRDefault="0073065F" w:rsidP="0073065F">
      <w:pPr>
        <w:jc w:val="both"/>
        <w:rPr>
          <w:rFonts w:ascii="Times New Roman" w:hAnsi="Times New Roman"/>
          <w:bCs/>
        </w:rPr>
      </w:pPr>
      <w:r w:rsidRPr="00E23A65">
        <w:rPr>
          <w:rFonts w:ascii="Times New Roman" w:hAnsi="Times New Roman"/>
          <w:bCs/>
        </w:rPr>
        <w:t>Na strukturę numeru pozwolenia, składają się kolejno następujące po sobie elementy:</w:t>
      </w:r>
    </w:p>
    <w:p w:rsidR="0073065F" w:rsidRPr="00E23A65" w:rsidRDefault="0073065F" w:rsidP="0073065F">
      <w:pPr>
        <w:jc w:val="both"/>
        <w:rPr>
          <w:rFonts w:ascii="Times New Roman" w:hAnsi="Times New Roman"/>
          <w:bCs/>
        </w:rPr>
      </w:pPr>
    </w:p>
    <w:p w:rsidR="0073065F" w:rsidRPr="00E23A65" w:rsidRDefault="0073065F" w:rsidP="0073065F">
      <w:pPr>
        <w:pStyle w:val="Akapitzlist"/>
        <w:numPr>
          <w:ilvl w:val="0"/>
          <w:numId w:val="24"/>
        </w:numPr>
        <w:jc w:val="both"/>
        <w:rPr>
          <w:rFonts w:ascii="Times New Roman" w:hAnsi="Times New Roman"/>
        </w:rPr>
      </w:pPr>
      <w:r w:rsidRPr="00E23A65">
        <w:rPr>
          <w:rFonts w:ascii="Times New Roman" w:hAnsi="Times New Roman"/>
        </w:rPr>
        <w:t xml:space="preserve">dla pozwoleń wydanych przed wdrożeniem </w:t>
      </w:r>
      <w:r w:rsidRPr="00E23A65">
        <w:rPr>
          <w:rFonts w:ascii="Times New Roman" w:hAnsi="Times New Roman"/>
          <w:i/>
        </w:rPr>
        <w:t>systemu decyzji celnych w ramach UKC</w:t>
      </w:r>
      <w:r w:rsidRPr="00E23A65">
        <w:rPr>
          <w:rFonts w:ascii="Times New Roman" w:hAnsi="Times New Roman"/>
        </w:rPr>
        <w:t xml:space="preserve"> (CDS), czyli </w:t>
      </w:r>
      <w:r w:rsidRPr="00E23A65">
        <w:rPr>
          <w:rFonts w:ascii="Times New Roman" w:hAnsi="Times New Roman"/>
          <w:b/>
        </w:rPr>
        <w:t>przed dniem 2 października 2017 r.</w:t>
      </w:r>
    </w:p>
    <w:p w:rsidR="0073065F" w:rsidRPr="00E23A65" w:rsidRDefault="0073065F" w:rsidP="0073065F">
      <w:pPr>
        <w:pStyle w:val="Akapitzlist"/>
        <w:jc w:val="both"/>
        <w:rPr>
          <w:rFonts w:ascii="Times New Roman" w:hAnsi="Times New Roman"/>
        </w:rPr>
      </w:pPr>
    </w:p>
    <w:p w:rsidR="0073065F" w:rsidRPr="00E23A65" w:rsidRDefault="0073065F" w:rsidP="0073065F">
      <w:pPr>
        <w:pStyle w:val="Akapitzlist"/>
        <w:numPr>
          <w:ilvl w:val="0"/>
          <w:numId w:val="25"/>
        </w:numPr>
        <w:ind w:left="1276"/>
        <w:rPr>
          <w:rFonts w:ascii="Times New Roman" w:hAnsi="Times New Roman"/>
          <w:bCs/>
        </w:rPr>
      </w:pPr>
      <w:r w:rsidRPr="00E23A65">
        <w:rPr>
          <w:rFonts w:ascii="Times New Roman" w:hAnsi="Times New Roman"/>
          <w:bCs/>
        </w:rPr>
        <w:t>symbol PL (a2);</w:t>
      </w:r>
    </w:p>
    <w:p w:rsidR="0073065F" w:rsidRPr="00E23A65" w:rsidRDefault="0073065F" w:rsidP="0073065F">
      <w:pPr>
        <w:pStyle w:val="Akapitzlist"/>
        <w:numPr>
          <w:ilvl w:val="0"/>
          <w:numId w:val="25"/>
        </w:numPr>
        <w:ind w:left="1276"/>
        <w:rPr>
          <w:rFonts w:ascii="Times New Roman" w:hAnsi="Times New Roman"/>
          <w:bCs/>
        </w:rPr>
      </w:pPr>
      <w:r w:rsidRPr="00E23A65">
        <w:rPr>
          <w:rFonts w:ascii="Times New Roman" w:hAnsi="Times New Roman"/>
          <w:bCs/>
        </w:rPr>
        <w:t>kod rodzaju decyzji – CVA (a3);</w:t>
      </w:r>
    </w:p>
    <w:p w:rsidR="0073065F" w:rsidRPr="00E23A65" w:rsidRDefault="0073065F" w:rsidP="0073065F">
      <w:pPr>
        <w:pStyle w:val="Akapitzlist"/>
        <w:numPr>
          <w:ilvl w:val="0"/>
          <w:numId w:val="25"/>
        </w:numPr>
        <w:ind w:left="1276"/>
        <w:rPr>
          <w:rFonts w:ascii="Times New Roman" w:hAnsi="Times New Roman"/>
          <w:bCs/>
        </w:rPr>
      </w:pPr>
      <w:r w:rsidRPr="00E23A65">
        <w:rPr>
          <w:rFonts w:ascii="Times New Roman" w:hAnsi="Times New Roman"/>
          <w:bCs/>
        </w:rPr>
        <w:t xml:space="preserve">kod urzędu celnego, który wydał decyzję (n6); </w:t>
      </w:r>
    </w:p>
    <w:p w:rsidR="0073065F" w:rsidRPr="00E23A65" w:rsidRDefault="0073065F" w:rsidP="0073065F">
      <w:pPr>
        <w:pStyle w:val="Akapitzlist"/>
        <w:numPr>
          <w:ilvl w:val="0"/>
          <w:numId w:val="25"/>
        </w:numPr>
        <w:ind w:left="1276"/>
        <w:rPr>
          <w:rFonts w:ascii="Times New Roman" w:hAnsi="Times New Roman"/>
          <w:bCs/>
        </w:rPr>
      </w:pPr>
      <w:r w:rsidRPr="00E23A65">
        <w:rPr>
          <w:rFonts w:ascii="Times New Roman" w:hAnsi="Times New Roman"/>
          <w:bCs/>
        </w:rPr>
        <w:t>rok wydania decyzji (n2);</w:t>
      </w:r>
    </w:p>
    <w:p w:rsidR="0073065F" w:rsidRPr="00E23A65" w:rsidRDefault="0073065F" w:rsidP="0073065F">
      <w:pPr>
        <w:pStyle w:val="Akapitzlist"/>
        <w:numPr>
          <w:ilvl w:val="0"/>
          <w:numId w:val="25"/>
        </w:numPr>
        <w:ind w:left="1276"/>
        <w:rPr>
          <w:rFonts w:ascii="Times New Roman" w:hAnsi="Times New Roman"/>
          <w:bCs/>
        </w:rPr>
      </w:pPr>
      <w:r w:rsidRPr="00E23A65">
        <w:rPr>
          <w:rFonts w:ascii="Times New Roman" w:hAnsi="Times New Roman"/>
          <w:bCs/>
        </w:rPr>
        <w:t>wyróżnik cyfrowy (numer ewidencyjny) decyzji wydanych przez daną izbę celną (n4)</w:t>
      </w:r>
    </w:p>
    <w:p w:rsidR="0073065F" w:rsidRPr="00E23A65" w:rsidRDefault="0073065F" w:rsidP="0073065F">
      <w:pPr>
        <w:ind w:left="840" w:firstLine="436"/>
        <w:rPr>
          <w:rFonts w:ascii="Times New Roman" w:hAnsi="Times New Roman"/>
          <w:i/>
        </w:rPr>
      </w:pPr>
      <w:r w:rsidRPr="00E23A65">
        <w:rPr>
          <w:rFonts w:ascii="Times New Roman" w:hAnsi="Times New Roman"/>
          <w:i/>
          <w:iCs/>
        </w:rPr>
        <w:t xml:space="preserve">Przykład: </w:t>
      </w:r>
      <w:r w:rsidRPr="00E23A65">
        <w:rPr>
          <w:rFonts w:ascii="Times New Roman" w:hAnsi="Times New Roman"/>
          <w:bCs/>
          <w:i/>
        </w:rPr>
        <w:t>PLCVA400000160001</w:t>
      </w:r>
    </w:p>
    <w:p w:rsidR="0073065F" w:rsidRPr="00E23A65" w:rsidRDefault="0073065F" w:rsidP="0073065F">
      <w:pPr>
        <w:spacing w:line="360" w:lineRule="auto"/>
        <w:jc w:val="both"/>
        <w:rPr>
          <w:rFonts w:ascii="Times New Roman" w:hAnsi="Times New Roman"/>
          <w:i/>
        </w:rPr>
      </w:pPr>
    </w:p>
    <w:p w:rsidR="0073065F" w:rsidRPr="00E23A65" w:rsidRDefault="0073065F" w:rsidP="0073065F">
      <w:pPr>
        <w:pStyle w:val="Akapitzlist"/>
        <w:numPr>
          <w:ilvl w:val="0"/>
          <w:numId w:val="24"/>
        </w:numPr>
        <w:ind w:left="714" w:hanging="357"/>
        <w:jc w:val="both"/>
        <w:rPr>
          <w:rFonts w:ascii="Times New Roman" w:eastAsia="Times New Roman" w:hAnsi="Times New Roman"/>
          <w:b/>
        </w:rPr>
      </w:pPr>
      <w:r w:rsidRPr="00E23A65">
        <w:rPr>
          <w:rFonts w:ascii="Times New Roman" w:eastAsia="Times New Roman" w:hAnsi="Times New Roman"/>
        </w:rPr>
        <w:t xml:space="preserve">dla pozwoleń wydanych </w:t>
      </w:r>
      <w:r w:rsidRPr="00E23A65">
        <w:rPr>
          <w:rFonts w:ascii="Times New Roman" w:hAnsi="Times New Roman"/>
          <w:b/>
          <w:bCs/>
        </w:rPr>
        <w:t xml:space="preserve">po dniu 2 października 2017 r. w </w:t>
      </w:r>
      <w:r w:rsidRPr="00E23A65">
        <w:rPr>
          <w:rFonts w:ascii="Times New Roman" w:eastAsia="Times New Roman" w:hAnsi="Times New Roman"/>
          <w:b/>
          <w:i/>
        </w:rPr>
        <w:t xml:space="preserve">systemie decyzji celnych w ramach UKC </w:t>
      </w:r>
      <w:r w:rsidRPr="00E23A65">
        <w:rPr>
          <w:rFonts w:ascii="Times New Roman" w:eastAsia="Times New Roman" w:hAnsi="Times New Roman"/>
          <w:b/>
        </w:rPr>
        <w:t>(</w:t>
      </w:r>
      <w:r w:rsidRPr="00E23A65">
        <w:rPr>
          <w:rFonts w:ascii="Times New Roman" w:hAnsi="Times New Roman"/>
          <w:b/>
          <w:bCs/>
        </w:rPr>
        <w:t>CDS)</w:t>
      </w:r>
    </w:p>
    <w:p w:rsidR="0073065F" w:rsidRPr="00E23A65" w:rsidRDefault="0073065F" w:rsidP="0073065F">
      <w:pPr>
        <w:spacing w:line="360" w:lineRule="auto"/>
        <w:jc w:val="both"/>
        <w:rPr>
          <w:rFonts w:ascii="Times New Roman" w:eastAsia="Times New Roman" w:hAnsi="Times New Roman"/>
          <w:b/>
          <w:i/>
        </w:rPr>
      </w:pPr>
    </w:p>
    <w:p w:rsidR="0073065F" w:rsidRPr="00E23A65" w:rsidRDefault="0073065F" w:rsidP="0073065F">
      <w:pPr>
        <w:pStyle w:val="Akapitzlist"/>
        <w:numPr>
          <w:ilvl w:val="0"/>
          <w:numId w:val="26"/>
        </w:numPr>
        <w:ind w:left="1276"/>
        <w:jc w:val="both"/>
        <w:rPr>
          <w:rFonts w:ascii="Times New Roman" w:eastAsia="Times New Roman" w:hAnsi="Times New Roman"/>
        </w:rPr>
      </w:pPr>
      <w:r w:rsidRPr="00E23A65">
        <w:rPr>
          <w:rFonts w:ascii="Times New Roman" w:eastAsia="Times New Roman" w:hAnsi="Times New Roman"/>
        </w:rPr>
        <w:t>kod kraju - PL (a2);</w:t>
      </w:r>
    </w:p>
    <w:p w:rsidR="0073065F" w:rsidRPr="00E23A65" w:rsidRDefault="0073065F" w:rsidP="0073065F">
      <w:pPr>
        <w:pStyle w:val="Akapitzlist"/>
        <w:numPr>
          <w:ilvl w:val="0"/>
          <w:numId w:val="26"/>
        </w:numPr>
        <w:ind w:left="1276"/>
        <w:jc w:val="both"/>
        <w:rPr>
          <w:rFonts w:ascii="Times New Roman" w:eastAsia="Times New Roman" w:hAnsi="Times New Roman"/>
        </w:rPr>
      </w:pPr>
      <w:r w:rsidRPr="00E23A65">
        <w:rPr>
          <w:rFonts w:ascii="Times New Roman" w:eastAsia="Times New Roman" w:hAnsi="Times New Roman"/>
        </w:rPr>
        <w:t>kod rodzaju decyzji – CVA (a3);</w:t>
      </w:r>
    </w:p>
    <w:p w:rsidR="0073065F" w:rsidRPr="00E23A65" w:rsidRDefault="0073065F" w:rsidP="0073065F">
      <w:pPr>
        <w:pStyle w:val="Akapitzlist"/>
        <w:numPr>
          <w:ilvl w:val="0"/>
          <w:numId w:val="26"/>
        </w:numPr>
        <w:ind w:left="1276"/>
        <w:jc w:val="both"/>
        <w:rPr>
          <w:rFonts w:ascii="Times New Roman" w:eastAsia="Times New Roman" w:hAnsi="Times New Roman"/>
        </w:rPr>
      </w:pPr>
      <w:r w:rsidRPr="00E23A65">
        <w:rPr>
          <w:rFonts w:ascii="Times New Roman" w:eastAsia="Times New Roman" w:hAnsi="Times New Roman"/>
        </w:rPr>
        <w:t>kod urzędu celno-skarbowego, który wydał pozwolenie (an8);</w:t>
      </w:r>
    </w:p>
    <w:p w:rsidR="0073065F" w:rsidRPr="00E23A65" w:rsidRDefault="0073065F" w:rsidP="0073065F">
      <w:pPr>
        <w:pStyle w:val="Akapitzlist"/>
        <w:numPr>
          <w:ilvl w:val="0"/>
          <w:numId w:val="26"/>
        </w:numPr>
        <w:ind w:left="1276"/>
        <w:jc w:val="both"/>
        <w:rPr>
          <w:rFonts w:ascii="Times New Roman" w:eastAsia="Times New Roman" w:hAnsi="Times New Roman"/>
        </w:rPr>
      </w:pPr>
      <w:r w:rsidRPr="00E23A65">
        <w:rPr>
          <w:rFonts w:ascii="Times New Roman" w:eastAsia="Times New Roman" w:hAnsi="Times New Roman"/>
        </w:rPr>
        <w:t xml:space="preserve">myślnik (-) rozdzielający kod urzędu celno-skarbowego i rok wydania pozwolenia; </w:t>
      </w:r>
    </w:p>
    <w:p w:rsidR="0073065F" w:rsidRPr="00E23A65" w:rsidRDefault="0073065F" w:rsidP="0073065F">
      <w:pPr>
        <w:pStyle w:val="Akapitzlist"/>
        <w:numPr>
          <w:ilvl w:val="0"/>
          <w:numId w:val="26"/>
        </w:numPr>
        <w:ind w:left="1276"/>
        <w:jc w:val="both"/>
        <w:rPr>
          <w:rFonts w:ascii="Times New Roman" w:eastAsia="Times New Roman" w:hAnsi="Times New Roman"/>
        </w:rPr>
      </w:pPr>
      <w:r w:rsidRPr="00E23A65">
        <w:rPr>
          <w:rFonts w:ascii="Times New Roman" w:eastAsia="Times New Roman" w:hAnsi="Times New Roman"/>
        </w:rPr>
        <w:t>rok wydania pozwolenia (n4);</w:t>
      </w:r>
    </w:p>
    <w:p w:rsidR="0073065F" w:rsidRPr="00E23A65" w:rsidRDefault="0073065F" w:rsidP="0073065F">
      <w:pPr>
        <w:pStyle w:val="Akapitzlist"/>
        <w:numPr>
          <w:ilvl w:val="0"/>
          <w:numId w:val="26"/>
        </w:numPr>
        <w:ind w:left="1276"/>
        <w:rPr>
          <w:rFonts w:ascii="Times New Roman" w:eastAsia="Times New Roman" w:hAnsi="Times New Roman"/>
        </w:rPr>
      </w:pPr>
      <w:r w:rsidRPr="00E23A65">
        <w:rPr>
          <w:rFonts w:ascii="Times New Roman" w:eastAsia="Times New Roman" w:hAnsi="Times New Roman"/>
        </w:rPr>
        <w:t xml:space="preserve">myślnik (-) rozdzielający rok wydania pozwolenia i wyróżnik cyfrowy (numer ewidencyjny); </w:t>
      </w:r>
    </w:p>
    <w:p w:rsidR="0073065F" w:rsidRPr="00E23A65" w:rsidRDefault="0073065F" w:rsidP="0073065F">
      <w:pPr>
        <w:pStyle w:val="Akapitzlist"/>
        <w:numPr>
          <w:ilvl w:val="0"/>
          <w:numId w:val="26"/>
        </w:numPr>
        <w:ind w:left="1276"/>
        <w:rPr>
          <w:rFonts w:ascii="Times New Roman" w:eastAsia="Times New Roman" w:hAnsi="Times New Roman"/>
        </w:rPr>
      </w:pPr>
      <w:r w:rsidRPr="00E23A65">
        <w:rPr>
          <w:rFonts w:ascii="Times New Roman" w:eastAsia="Times New Roman" w:hAnsi="Times New Roman"/>
        </w:rPr>
        <w:t xml:space="preserve">wyróżnik cyfrowy (numer ewidencyjny) pozwolenia nadany automatycznie przez unijny system CDS. Na ten wyróżnik cyfrowy składają się dwa elementy: przypadkowe znaki/ang. random characters (a3) oraz wyróżnik cyfrowy cyfry (n..12).  </w:t>
      </w:r>
    </w:p>
    <w:p w:rsidR="0073065F" w:rsidRPr="00E23A65" w:rsidRDefault="0073065F" w:rsidP="0073065F">
      <w:pPr>
        <w:jc w:val="both"/>
        <w:rPr>
          <w:rFonts w:ascii="Times New Roman" w:hAnsi="Times New Roman"/>
        </w:rPr>
      </w:pPr>
    </w:p>
    <w:p w:rsidR="0073065F" w:rsidRPr="00E23A65" w:rsidRDefault="0073065F" w:rsidP="0073065F">
      <w:pPr>
        <w:ind w:left="556" w:firstLine="720"/>
        <w:jc w:val="both"/>
        <w:rPr>
          <w:rFonts w:ascii="Times New Roman" w:hAnsi="Times New Roman"/>
          <w:b/>
        </w:rPr>
      </w:pPr>
      <w:r w:rsidRPr="00E23A65">
        <w:rPr>
          <w:rFonts w:ascii="Times New Roman" w:eastAsia="Times New Roman" w:hAnsi="Times New Roman"/>
          <w:i/>
          <w:iCs/>
        </w:rPr>
        <w:t>Przykład:</w:t>
      </w:r>
      <w:r w:rsidRPr="00E23A65">
        <w:rPr>
          <w:rFonts w:ascii="Times New Roman" w:eastAsia="Times New Roman" w:hAnsi="Times New Roman"/>
          <w:iCs/>
        </w:rPr>
        <w:t xml:space="preserve"> </w:t>
      </w:r>
      <w:r w:rsidRPr="00E23A65">
        <w:rPr>
          <w:rFonts w:ascii="Times New Roman" w:hAnsi="Times New Roman"/>
          <w:bCs/>
        </w:rPr>
        <w:t>PLCVAPL400000-2017-xwy1243</w:t>
      </w:r>
    </w:p>
    <w:p w:rsidR="0073065F" w:rsidRPr="00E23A65" w:rsidRDefault="0073065F" w:rsidP="0073065F">
      <w:pPr>
        <w:jc w:val="both"/>
        <w:rPr>
          <w:rFonts w:ascii="Times New Roman" w:hAnsi="Times New Roman"/>
          <w:b/>
        </w:rPr>
      </w:pPr>
    </w:p>
    <w:p w:rsidR="0073065F" w:rsidRPr="002644DD" w:rsidRDefault="0073065F" w:rsidP="0073065F">
      <w:pPr>
        <w:jc w:val="both"/>
        <w:rPr>
          <w:rFonts w:ascii="Times New Roman" w:eastAsia="Times New Roman" w:hAnsi="Times New Roman"/>
        </w:rPr>
      </w:pPr>
      <w:r w:rsidRPr="00E23A65">
        <w:rPr>
          <w:rFonts w:ascii="Times New Roman" w:eastAsia="Times New Roman" w:hAnsi="Times New Roman"/>
          <w:b/>
        </w:rPr>
        <w:t xml:space="preserve">Uwaga! </w:t>
      </w:r>
      <w:r w:rsidRPr="00E23A65">
        <w:rPr>
          <w:rFonts w:ascii="Times New Roman" w:eastAsia="Times New Roman" w:hAnsi="Times New Roman"/>
        </w:rPr>
        <w:t xml:space="preserve">W zgłoszeniu celnym numer pozwolenia wpisuje się jako ciąg znaków alfanumerycznych (bez użycia ukośników, myślników, kropek, itp.).”. </w:t>
      </w:r>
    </w:p>
    <w:p w:rsidR="0073065F" w:rsidRDefault="0073065F" w:rsidP="0073065F">
      <w:pPr>
        <w:spacing w:before="240"/>
        <w:ind w:firstLine="720"/>
        <w:jc w:val="both"/>
        <w:rPr>
          <w:rFonts w:ascii="Times New Roman" w:hAnsi="Times New Roman"/>
          <w:b/>
        </w:rPr>
      </w:pPr>
    </w:p>
    <w:p w:rsidR="0073065F" w:rsidRPr="004B4D7E" w:rsidRDefault="0073065F" w:rsidP="0073065F">
      <w:pPr>
        <w:spacing w:before="240"/>
        <w:ind w:firstLine="720"/>
        <w:jc w:val="both"/>
        <w:rPr>
          <w:rFonts w:ascii="Times New Roman" w:eastAsia="Times New Roman" w:hAnsi="Times New Roman"/>
          <w:b/>
          <w:bCs/>
        </w:rPr>
      </w:pPr>
      <w:r w:rsidRPr="004B4D7E">
        <w:rPr>
          <w:rFonts w:ascii="Times New Roman" w:hAnsi="Times New Roman"/>
          <w:b/>
        </w:rPr>
        <w:t>-  pkt 9 (str. 171-172), otrzymuje następujące brzmienie</w:t>
      </w:r>
    </w:p>
    <w:p w:rsidR="0073065F" w:rsidRPr="00FA1758" w:rsidRDefault="0073065F" w:rsidP="0073065F">
      <w:pPr>
        <w:jc w:val="both"/>
        <w:rPr>
          <w:rFonts w:ascii="Times New Roman" w:eastAsia="Times New Roman" w:hAnsi="Times New Roman"/>
          <w:b/>
        </w:rPr>
      </w:pPr>
    </w:p>
    <w:p w:rsidR="0073065F" w:rsidRPr="00FA1758" w:rsidRDefault="0073065F" w:rsidP="0073065F">
      <w:pPr>
        <w:jc w:val="both"/>
        <w:rPr>
          <w:rFonts w:ascii="Times New Roman" w:eastAsia="Times New Roman" w:hAnsi="Times New Roman"/>
          <w:b/>
        </w:rPr>
      </w:pPr>
    </w:p>
    <w:p w:rsidR="0073065F" w:rsidRPr="00FA1758" w:rsidRDefault="0073065F" w:rsidP="0073065F">
      <w:pPr>
        <w:jc w:val="both"/>
        <w:rPr>
          <w:rFonts w:ascii="Times New Roman" w:eastAsia="Times New Roman" w:hAnsi="Times New Roman"/>
          <w:b/>
        </w:rPr>
      </w:pPr>
      <w:r w:rsidRPr="00FA1758">
        <w:rPr>
          <w:rFonts w:ascii="Times New Roman" w:eastAsia="Times New Roman" w:hAnsi="Times New Roman"/>
          <w:b/>
        </w:rPr>
        <w:t>„9. Zasady wykazywania pozwoleń w zgłoszeniu celnym na stosowanie procedury specjalnej oraz zgłoszenie celne jako pozwolenie na stosowanie procedury specjalnej</w:t>
      </w:r>
    </w:p>
    <w:p w:rsidR="0073065F" w:rsidRPr="00FA1758" w:rsidRDefault="0073065F" w:rsidP="0073065F">
      <w:pPr>
        <w:jc w:val="both"/>
        <w:rPr>
          <w:rFonts w:ascii="Times New Roman" w:eastAsia="Times New Roman" w:hAnsi="Times New Roman"/>
          <w:b/>
        </w:rPr>
      </w:pPr>
    </w:p>
    <w:p w:rsidR="0073065F" w:rsidRPr="00FA1758" w:rsidRDefault="0073065F" w:rsidP="0073065F">
      <w:pPr>
        <w:jc w:val="both"/>
        <w:rPr>
          <w:rFonts w:ascii="Times New Roman" w:eastAsia="Times New Roman" w:hAnsi="Times New Roman"/>
        </w:rPr>
      </w:pPr>
      <w:r w:rsidRPr="00FA1758">
        <w:rPr>
          <w:rFonts w:ascii="Times New Roman" w:eastAsia="Times New Roman" w:hAnsi="Times New Roman"/>
        </w:rPr>
        <w:t>W przypadku procedur specjalnych (uszlachetnianie czynne, uszlachetnianie bierne, odprawa czasowa, końcowe przeznaczenie) zgłaszający nie dołącza do zgłoszenia celnego pozwolenia na korzystanie z procedury.</w:t>
      </w:r>
    </w:p>
    <w:p w:rsidR="0073065F" w:rsidRPr="00FA1758" w:rsidRDefault="0073065F" w:rsidP="0073065F">
      <w:pPr>
        <w:tabs>
          <w:tab w:val="left" w:pos="540"/>
        </w:tabs>
        <w:jc w:val="both"/>
        <w:rPr>
          <w:rFonts w:ascii="Times New Roman" w:eastAsia="Times New Roman" w:hAnsi="Times New Roman"/>
          <w:color w:val="000000"/>
        </w:rPr>
      </w:pPr>
    </w:p>
    <w:p w:rsidR="0073065F" w:rsidRPr="00FA1758" w:rsidRDefault="0073065F" w:rsidP="0073065F">
      <w:pPr>
        <w:tabs>
          <w:tab w:val="left" w:pos="540"/>
        </w:tabs>
        <w:spacing w:after="120"/>
        <w:jc w:val="both"/>
        <w:rPr>
          <w:rFonts w:ascii="Times New Roman" w:eastAsia="Times New Roman" w:hAnsi="Times New Roman"/>
        </w:rPr>
      </w:pPr>
      <w:r w:rsidRPr="00FA1758">
        <w:rPr>
          <w:rFonts w:ascii="Times New Roman" w:eastAsia="Times New Roman" w:hAnsi="Times New Roman"/>
        </w:rPr>
        <w:t>W zależności od formy pozwolenia, w Polu 44 zgłoszenia powinny zostać wpisane następujące dane:</w:t>
      </w:r>
    </w:p>
    <w:p w:rsidR="0073065F" w:rsidRPr="00FA1758" w:rsidRDefault="0073065F" w:rsidP="0073065F">
      <w:pPr>
        <w:numPr>
          <w:ilvl w:val="0"/>
          <w:numId w:val="9"/>
        </w:numPr>
        <w:autoSpaceDE w:val="0"/>
        <w:autoSpaceDN w:val="0"/>
        <w:adjustRightInd w:val="0"/>
        <w:spacing w:after="120"/>
        <w:ind w:left="720"/>
        <w:jc w:val="both"/>
        <w:rPr>
          <w:rFonts w:ascii="Times New Roman" w:eastAsia="Times New Roman" w:hAnsi="Times New Roman"/>
          <w:lang w:eastAsia="pl-PL"/>
        </w:rPr>
      </w:pPr>
      <w:r w:rsidRPr="00FA1758">
        <w:rPr>
          <w:rFonts w:ascii="Times New Roman" w:eastAsia="Times New Roman" w:hAnsi="Times New Roman"/>
        </w:rPr>
        <w:t xml:space="preserve">w przypadku gdy pozwolenie zostało wydane z wykorzystaniem wzoru z załącznika nr 12 do przejściowego rozporządzenia delegowanego (UE) 2016/341, konieczne jest podanie w Polu 44 zgłoszenia </w:t>
      </w:r>
      <w:r w:rsidRPr="00866AB2">
        <w:rPr>
          <w:rFonts w:ascii="Times New Roman" w:eastAsia="Times New Roman" w:hAnsi="Times New Roman"/>
          <w:b/>
          <w:u w:val="single"/>
        </w:rPr>
        <w:t>składanego do systemu CELINA</w:t>
      </w:r>
      <w:r w:rsidRPr="00FA1758">
        <w:rPr>
          <w:rFonts w:ascii="Times New Roman" w:eastAsia="Times New Roman" w:hAnsi="Times New Roman"/>
        </w:rPr>
        <w:t xml:space="preserve">, zarówno unijnego kodu pozwolenia właściwego dla konkretnej procedury (o ile taki istnieje), jak i krajowego kodu przewidzianego dla poszczególnych rodzajów pozwoleń. </w:t>
      </w:r>
    </w:p>
    <w:p w:rsidR="0073065F" w:rsidRPr="00FA1758" w:rsidRDefault="0073065F" w:rsidP="0073065F">
      <w:pPr>
        <w:autoSpaceDE w:val="0"/>
        <w:autoSpaceDN w:val="0"/>
        <w:adjustRightInd w:val="0"/>
        <w:spacing w:after="120"/>
        <w:ind w:left="720"/>
        <w:jc w:val="both"/>
        <w:rPr>
          <w:rFonts w:ascii="Times New Roman" w:eastAsia="Times New Roman" w:hAnsi="Times New Roman"/>
        </w:rPr>
      </w:pPr>
      <w:r w:rsidRPr="00FA1758">
        <w:rPr>
          <w:rFonts w:ascii="Times New Roman" w:eastAsia="Times New Roman" w:hAnsi="Times New Roman"/>
        </w:rPr>
        <w:t xml:space="preserve">Kody unijne zostały przewidziane dla pozwoleń na stosowanie procedury: </w:t>
      </w:r>
    </w:p>
    <w:p w:rsidR="0073065F" w:rsidRPr="00FA1758" w:rsidRDefault="0073065F" w:rsidP="0073065F">
      <w:pPr>
        <w:autoSpaceDE w:val="0"/>
        <w:autoSpaceDN w:val="0"/>
        <w:adjustRightInd w:val="0"/>
        <w:spacing w:after="120"/>
        <w:ind w:left="1134"/>
        <w:jc w:val="both"/>
        <w:rPr>
          <w:rFonts w:ascii="Times New Roman" w:eastAsia="Times New Roman" w:hAnsi="Times New Roman"/>
        </w:rPr>
      </w:pPr>
      <w:r w:rsidRPr="00FA1758">
        <w:rPr>
          <w:rFonts w:ascii="Times New Roman" w:eastAsia="Times New Roman" w:hAnsi="Times New Roman"/>
        </w:rPr>
        <w:t xml:space="preserve">- uszlachetniania biernego - kod C019, </w:t>
      </w:r>
    </w:p>
    <w:p w:rsidR="0073065F" w:rsidRPr="00FA1758" w:rsidRDefault="0073065F" w:rsidP="0073065F">
      <w:pPr>
        <w:autoSpaceDE w:val="0"/>
        <w:autoSpaceDN w:val="0"/>
        <w:adjustRightInd w:val="0"/>
        <w:spacing w:after="120"/>
        <w:ind w:left="1134"/>
        <w:jc w:val="both"/>
        <w:rPr>
          <w:rFonts w:ascii="Times New Roman" w:eastAsia="Times New Roman" w:hAnsi="Times New Roman"/>
        </w:rPr>
      </w:pPr>
      <w:r w:rsidRPr="00FA1758">
        <w:rPr>
          <w:rFonts w:ascii="Times New Roman" w:eastAsia="Times New Roman" w:hAnsi="Times New Roman"/>
        </w:rPr>
        <w:t xml:space="preserve">- uszlachetniania czynnego – kod C601, </w:t>
      </w:r>
    </w:p>
    <w:p w:rsidR="0073065F" w:rsidRPr="00FA1758" w:rsidRDefault="0073065F" w:rsidP="0073065F">
      <w:pPr>
        <w:autoSpaceDE w:val="0"/>
        <w:autoSpaceDN w:val="0"/>
        <w:adjustRightInd w:val="0"/>
        <w:spacing w:after="120"/>
        <w:ind w:left="1134"/>
        <w:jc w:val="both"/>
        <w:rPr>
          <w:rFonts w:ascii="Times New Roman" w:eastAsia="Times New Roman" w:hAnsi="Times New Roman"/>
        </w:rPr>
      </w:pPr>
      <w:r w:rsidRPr="00FA1758">
        <w:rPr>
          <w:rFonts w:ascii="Times New Roman" w:eastAsia="Times New Roman" w:hAnsi="Times New Roman"/>
        </w:rPr>
        <w:t xml:space="preserve">- odprawy czasowej – </w:t>
      </w:r>
      <w:r>
        <w:rPr>
          <w:rFonts w:ascii="Times New Roman" w:eastAsia="Times New Roman" w:hAnsi="Times New Roman"/>
        </w:rPr>
        <w:t xml:space="preserve">kod </w:t>
      </w:r>
      <w:r w:rsidRPr="00FA1758">
        <w:rPr>
          <w:rFonts w:ascii="Times New Roman" w:eastAsia="Times New Roman" w:hAnsi="Times New Roman"/>
        </w:rPr>
        <w:t>C516</w:t>
      </w:r>
    </w:p>
    <w:p w:rsidR="0073065F" w:rsidRPr="00FA1758" w:rsidRDefault="0073065F" w:rsidP="0073065F">
      <w:pPr>
        <w:autoSpaceDE w:val="0"/>
        <w:autoSpaceDN w:val="0"/>
        <w:adjustRightInd w:val="0"/>
        <w:spacing w:after="120"/>
        <w:ind w:left="1134"/>
        <w:jc w:val="both"/>
        <w:rPr>
          <w:rFonts w:ascii="Times New Roman" w:eastAsia="Times New Roman" w:hAnsi="Times New Roman"/>
          <w:lang w:eastAsia="pl-PL"/>
        </w:rPr>
      </w:pPr>
      <w:r w:rsidRPr="00FA1758">
        <w:rPr>
          <w:rFonts w:ascii="Times New Roman" w:eastAsia="Times New Roman" w:hAnsi="Times New Roman"/>
        </w:rPr>
        <w:t xml:space="preserve">- </w:t>
      </w:r>
      <w:r w:rsidRPr="00FA1758">
        <w:rPr>
          <w:rFonts w:ascii="Times New Roman" w:eastAsia="Times New Roman" w:hAnsi="Times New Roman"/>
          <w:lang w:eastAsia="pl-PL"/>
        </w:rPr>
        <w:t xml:space="preserve">procedury końcowego przeznaczenia (end-use) - kod N990. </w:t>
      </w:r>
    </w:p>
    <w:p w:rsidR="0073065F" w:rsidRPr="00FA1758" w:rsidRDefault="0073065F" w:rsidP="0073065F">
      <w:pPr>
        <w:autoSpaceDE w:val="0"/>
        <w:autoSpaceDN w:val="0"/>
        <w:adjustRightInd w:val="0"/>
        <w:ind w:left="720"/>
        <w:jc w:val="both"/>
        <w:rPr>
          <w:rFonts w:ascii="Times New Roman" w:eastAsia="Times New Roman" w:hAnsi="Times New Roman"/>
          <w:lang w:eastAsia="pl-PL"/>
        </w:rPr>
      </w:pPr>
    </w:p>
    <w:p w:rsidR="0073065F" w:rsidRPr="00FA1758" w:rsidRDefault="0073065F" w:rsidP="0073065F">
      <w:pPr>
        <w:autoSpaceDE w:val="0"/>
        <w:autoSpaceDN w:val="0"/>
        <w:adjustRightInd w:val="0"/>
        <w:ind w:left="720"/>
        <w:jc w:val="both"/>
        <w:rPr>
          <w:rFonts w:ascii="Times New Roman" w:eastAsia="Times New Roman" w:hAnsi="Times New Roman"/>
        </w:rPr>
      </w:pPr>
      <w:r w:rsidRPr="00FA1758">
        <w:rPr>
          <w:rFonts w:ascii="Times New Roman" w:eastAsia="Times New Roman" w:hAnsi="Times New Roman"/>
          <w:lang w:eastAsia="pl-PL"/>
        </w:rPr>
        <w:t xml:space="preserve">W związku z powyższym, jeżeli zgłoszenie celne dotyczy objęcia towaru jedną z ww. procedur celnych lub zakończenia jednej z ww. procedur, </w:t>
      </w:r>
      <w:r w:rsidRPr="00FA1758">
        <w:rPr>
          <w:rFonts w:ascii="Times New Roman" w:eastAsia="Times New Roman" w:hAnsi="Times New Roman"/>
        </w:rPr>
        <w:t>to w Polu 44 powinien wystąpić jeden z kodów dokumentu unijnego: C019, C601, C516 lub N990 w następującej konfiguracji z kodami krajowymi:</w:t>
      </w:r>
    </w:p>
    <w:p w:rsidR="0073065F" w:rsidRPr="00FA1758" w:rsidRDefault="0073065F" w:rsidP="0073065F">
      <w:pPr>
        <w:ind w:left="720"/>
        <w:jc w:val="both"/>
        <w:rPr>
          <w:rFonts w:ascii="Times New Roman" w:eastAsia="Times New Roman" w:hAnsi="Times New Roman"/>
        </w:rPr>
      </w:pPr>
    </w:p>
    <w:p w:rsidR="0073065F" w:rsidRPr="00FA1758" w:rsidRDefault="0073065F" w:rsidP="0073065F">
      <w:pPr>
        <w:ind w:left="720"/>
        <w:jc w:val="both"/>
        <w:rPr>
          <w:rFonts w:ascii="Times New Roman" w:eastAsia="Times New Roman" w:hAnsi="Times New Roman"/>
        </w:rPr>
      </w:pPr>
      <w:r w:rsidRPr="00FA1758">
        <w:rPr>
          <w:rFonts w:ascii="Times New Roman" w:eastAsia="Times New Roman" w:hAnsi="Times New Roman"/>
        </w:rPr>
        <w:t xml:space="preserve">C019 - jeden z kodów 1PG1, 1PG2, 1PG4, </w:t>
      </w:r>
    </w:p>
    <w:p w:rsidR="0073065F" w:rsidRPr="00FA1758" w:rsidRDefault="0073065F" w:rsidP="0073065F">
      <w:pPr>
        <w:ind w:left="720"/>
        <w:jc w:val="both"/>
        <w:rPr>
          <w:rFonts w:ascii="Times New Roman" w:eastAsia="Times New Roman" w:hAnsi="Times New Roman"/>
        </w:rPr>
      </w:pPr>
      <w:r w:rsidRPr="00FA1758">
        <w:rPr>
          <w:rFonts w:ascii="Times New Roman" w:eastAsia="Times New Roman" w:hAnsi="Times New Roman"/>
        </w:rPr>
        <w:t xml:space="preserve">C600 - jeden z kodów 1PG1, 1PG2, 1PG4, </w:t>
      </w:r>
    </w:p>
    <w:p w:rsidR="0073065F" w:rsidRPr="00FA1758" w:rsidRDefault="0073065F" w:rsidP="0073065F">
      <w:pPr>
        <w:ind w:left="720"/>
        <w:jc w:val="both"/>
        <w:rPr>
          <w:rFonts w:ascii="Times New Roman" w:eastAsia="Times New Roman" w:hAnsi="Times New Roman"/>
        </w:rPr>
      </w:pPr>
      <w:r w:rsidRPr="00FA1758">
        <w:rPr>
          <w:rFonts w:ascii="Times New Roman" w:eastAsia="Times New Roman" w:hAnsi="Times New Roman"/>
        </w:rPr>
        <w:t xml:space="preserve">C601 - jeden z kodów 1PG1, 1PG2, 1PG4, </w:t>
      </w:r>
    </w:p>
    <w:p w:rsidR="0073065F" w:rsidRPr="00FA1758" w:rsidRDefault="0073065F" w:rsidP="0073065F">
      <w:pPr>
        <w:ind w:left="720"/>
        <w:jc w:val="both"/>
        <w:rPr>
          <w:rFonts w:ascii="Times New Roman" w:eastAsia="Times New Roman" w:hAnsi="Times New Roman"/>
        </w:rPr>
      </w:pPr>
      <w:r w:rsidRPr="00FA1758">
        <w:rPr>
          <w:rFonts w:ascii="Times New Roman" w:eastAsia="Times New Roman" w:hAnsi="Times New Roman"/>
        </w:rPr>
        <w:t>C516 - jeden z kodów 1PG1, 1PG2, 1PG4,</w:t>
      </w:r>
    </w:p>
    <w:p w:rsidR="0073065F" w:rsidRPr="00FA1758" w:rsidRDefault="0073065F" w:rsidP="0073065F">
      <w:pPr>
        <w:spacing w:after="120"/>
        <w:ind w:left="720"/>
        <w:jc w:val="both"/>
        <w:rPr>
          <w:rFonts w:ascii="Times New Roman" w:eastAsia="Times New Roman" w:hAnsi="Times New Roman"/>
        </w:rPr>
      </w:pPr>
      <w:r>
        <w:rPr>
          <w:rFonts w:ascii="Times New Roman" w:eastAsia="Times New Roman" w:hAnsi="Times New Roman"/>
        </w:rPr>
        <w:t>N990 – jeden z kodów 3SP3,</w:t>
      </w:r>
      <w:r w:rsidRPr="00FA1758">
        <w:rPr>
          <w:rFonts w:ascii="Times New Roman" w:eastAsia="Times New Roman" w:hAnsi="Times New Roman"/>
        </w:rPr>
        <w:t xml:space="preserve"> 4SP4, 7SP7.</w:t>
      </w:r>
    </w:p>
    <w:p w:rsidR="0073065F" w:rsidRPr="00FA1758" w:rsidRDefault="0073065F" w:rsidP="0073065F">
      <w:pPr>
        <w:ind w:left="720"/>
        <w:jc w:val="both"/>
        <w:rPr>
          <w:rFonts w:ascii="Times New Roman" w:eastAsia="Times New Roman" w:hAnsi="Times New Roman"/>
        </w:rPr>
      </w:pPr>
      <w:r w:rsidRPr="00FA1758">
        <w:rPr>
          <w:rFonts w:ascii="Times New Roman" w:eastAsia="Times New Roman" w:hAnsi="Times New Roman"/>
        </w:rPr>
        <w:t>Jednocześnie po kodzie krajowym musi zostać podany numer pozwolenia.</w:t>
      </w:r>
    </w:p>
    <w:p w:rsidR="0073065F" w:rsidRPr="00FA1758" w:rsidRDefault="0073065F" w:rsidP="0073065F">
      <w:pPr>
        <w:ind w:left="720"/>
        <w:jc w:val="both"/>
        <w:rPr>
          <w:rFonts w:ascii="Times New Roman" w:eastAsia="Times New Roman" w:hAnsi="Times New Roman"/>
          <w:i/>
        </w:rPr>
      </w:pPr>
    </w:p>
    <w:p w:rsidR="0073065F" w:rsidRPr="00FA1758" w:rsidRDefault="0073065F" w:rsidP="0073065F">
      <w:pPr>
        <w:ind w:left="720"/>
        <w:jc w:val="both"/>
        <w:rPr>
          <w:rFonts w:ascii="Times New Roman" w:eastAsia="Times New Roman" w:hAnsi="Times New Roman"/>
          <w:i/>
        </w:rPr>
      </w:pPr>
      <w:r w:rsidRPr="00FA1758">
        <w:rPr>
          <w:rFonts w:ascii="Times New Roman" w:eastAsia="Times New Roman" w:hAnsi="Times New Roman"/>
          <w:i/>
        </w:rPr>
        <w:t>Przykładowy zapis w Polu 44:</w:t>
      </w:r>
    </w:p>
    <w:p w:rsidR="0073065F" w:rsidRPr="00FA1758" w:rsidRDefault="0073065F" w:rsidP="0073065F">
      <w:pPr>
        <w:ind w:left="720"/>
        <w:jc w:val="both"/>
        <w:rPr>
          <w:rFonts w:ascii="Times New Roman" w:eastAsia="Times New Roman" w:hAnsi="Times New Roman"/>
          <w:i/>
        </w:rPr>
      </w:pPr>
      <w:r w:rsidRPr="00FA1758">
        <w:rPr>
          <w:rFonts w:ascii="Times New Roman" w:eastAsia="Times New Roman" w:hAnsi="Times New Roman"/>
          <w:i/>
        </w:rPr>
        <w:t>„C019 – 1PG1”</w:t>
      </w:r>
    </w:p>
    <w:p w:rsidR="0073065F" w:rsidRPr="00FA1758" w:rsidRDefault="0073065F" w:rsidP="0073065F">
      <w:pPr>
        <w:widowControl w:val="0"/>
        <w:tabs>
          <w:tab w:val="num" w:pos="0"/>
        </w:tabs>
        <w:ind w:left="720"/>
        <w:jc w:val="both"/>
        <w:rPr>
          <w:rFonts w:ascii="Times New Roman" w:eastAsia="Times New Roman" w:hAnsi="Times New Roman"/>
          <w:i/>
        </w:rPr>
      </w:pPr>
      <w:r w:rsidRPr="00FA1758">
        <w:rPr>
          <w:rFonts w:ascii="Times New Roman" w:eastAsia="Times New Roman" w:hAnsi="Times New Roman"/>
          <w:i/>
        </w:rPr>
        <w:t>„1PG1-XXXXXXXXXXXXXXX”, gdzie XXXXXXXXXXXXXXX to numer pozwolenia.</w:t>
      </w:r>
    </w:p>
    <w:p w:rsidR="0073065F" w:rsidRPr="00FA1758" w:rsidRDefault="0073065F" w:rsidP="0073065F">
      <w:pPr>
        <w:ind w:left="720"/>
        <w:jc w:val="both"/>
        <w:rPr>
          <w:rFonts w:ascii="Times New Roman" w:eastAsia="Times New Roman" w:hAnsi="Times New Roman"/>
          <w:i/>
        </w:rPr>
      </w:pPr>
    </w:p>
    <w:p w:rsidR="0073065F" w:rsidRPr="00FA1758" w:rsidRDefault="0073065F" w:rsidP="0073065F">
      <w:pPr>
        <w:tabs>
          <w:tab w:val="left" w:pos="2160"/>
        </w:tabs>
        <w:spacing w:after="120"/>
        <w:ind w:left="720"/>
        <w:jc w:val="both"/>
        <w:rPr>
          <w:rFonts w:ascii="Times New Roman" w:eastAsia="Times New Roman" w:hAnsi="Times New Roman"/>
        </w:rPr>
      </w:pPr>
    </w:p>
    <w:p w:rsidR="0073065F" w:rsidRPr="00FA1758" w:rsidRDefault="0073065F" w:rsidP="0073065F">
      <w:pPr>
        <w:tabs>
          <w:tab w:val="left" w:pos="2160"/>
        </w:tabs>
        <w:spacing w:after="120"/>
        <w:ind w:left="720"/>
        <w:jc w:val="both"/>
        <w:rPr>
          <w:rFonts w:ascii="Times New Roman" w:eastAsia="Times New Roman" w:hAnsi="Times New Roman"/>
        </w:rPr>
      </w:pPr>
      <w:r w:rsidRPr="00FA1758">
        <w:rPr>
          <w:rFonts w:ascii="Times New Roman" w:eastAsia="Times New Roman" w:hAnsi="Times New Roman"/>
        </w:rPr>
        <w:t xml:space="preserve">2) W sytuacji, gdy wniosek o udzielenie pozwolenia na stosowanie procedur specjalnych, o których mowa w art. 211 ust. 1 UKC  ma formę zgłoszenia celnego (tj. wniosek skrócony), przyjęcie tego zgłoszenia przez organ celny jest jednoznaczne z udzieleniem pozwolenia skróconego. </w:t>
      </w:r>
    </w:p>
    <w:p w:rsidR="0073065F" w:rsidRPr="00FA1758" w:rsidRDefault="0073065F" w:rsidP="0073065F">
      <w:pPr>
        <w:tabs>
          <w:tab w:val="left" w:pos="2160"/>
        </w:tabs>
        <w:spacing w:after="120"/>
        <w:ind w:left="720"/>
        <w:jc w:val="both"/>
        <w:rPr>
          <w:rFonts w:ascii="Times New Roman" w:eastAsia="Times New Roman" w:hAnsi="Times New Roman"/>
        </w:rPr>
      </w:pPr>
      <w:r w:rsidRPr="00FA1758">
        <w:rPr>
          <w:rFonts w:ascii="Times New Roman" w:eastAsia="Times New Roman" w:hAnsi="Times New Roman"/>
        </w:rPr>
        <w:lastRenderedPageBreak/>
        <w:t xml:space="preserve">W przypadku wniosku skróconego dla procedury końcowego przeznaczenia (end-use) w Polu 44 należy podać kod „N990 - OGL” oraz krajowy kod „2DK1 – Pozwolenie uproszczone” (w specyfikacji XML opisy „OGL” i „Pozwolenie uproszczone” wpisywane są w atrybucie  przeznaczonym dla numeru dokumentu). Należy przy tym pamiętać, że podanie kodu 2DK1 skutkuje koniecznością zadeklarowania co najmniej jednego z krajowych kodów informacji dodatkowej 0PL05 – 0PL10. </w:t>
      </w:r>
    </w:p>
    <w:p w:rsidR="0073065F" w:rsidRPr="00FA1758" w:rsidRDefault="0073065F" w:rsidP="0073065F">
      <w:pPr>
        <w:tabs>
          <w:tab w:val="left" w:pos="2160"/>
        </w:tabs>
        <w:spacing w:after="120"/>
        <w:ind w:left="720"/>
        <w:jc w:val="both"/>
        <w:rPr>
          <w:rFonts w:ascii="Times New Roman" w:eastAsia="Times New Roman" w:hAnsi="Times New Roman"/>
        </w:rPr>
      </w:pPr>
      <w:r w:rsidRPr="00FA1758">
        <w:rPr>
          <w:rFonts w:ascii="Times New Roman" w:eastAsia="Times New Roman" w:hAnsi="Times New Roman"/>
        </w:rPr>
        <w:t>Natomiast w przypadku wniosku skróconego dla procedury uszlachetniania czynnego, uszlachetniania biernego lub odprawy czasowej należy podać kod informacji dodatkowej: „00100 – Pozwolenie uproszczone”. Należy przy tym pamiętać, że podanie kodu „00100” w zgłoszeniach składanych do systemu CELINA skutkuje koniecznością zadeklarowania co najmniej jednego z krajowych kodów informacji dodatkowej 0PL05 – 0PL10, natomiast w zgłoszeniach składanych do systemu AES o o</w:t>
      </w:r>
      <w:r>
        <w:rPr>
          <w:rFonts w:ascii="Times New Roman" w:eastAsia="Times New Roman" w:hAnsi="Times New Roman"/>
        </w:rPr>
        <w:t>bjęcie procedurą</w:t>
      </w:r>
      <w:r w:rsidRPr="00FA1758">
        <w:rPr>
          <w:rFonts w:ascii="Times New Roman" w:eastAsia="Times New Roman" w:hAnsi="Times New Roman"/>
        </w:rPr>
        <w:t xml:space="preserve"> uszlachetniania biernego należy podać wszystkie kody od 0PL05 do 0PL09.</w:t>
      </w:r>
    </w:p>
    <w:p w:rsidR="0073065F" w:rsidRPr="00AB09AD" w:rsidRDefault="0073065F" w:rsidP="0073065F">
      <w:pPr>
        <w:widowControl w:val="0"/>
        <w:tabs>
          <w:tab w:val="left" w:pos="2160"/>
        </w:tabs>
        <w:spacing w:after="120"/>
        <w:ind w:left="720"/>
        <w:jc w:val="both"/>
        <w:rPr>
          <w:rFonts w:ascii="Times New Roman" w:hAnsi="Times New Roman"/>
        </w:rPr>
      </w:pPr>
      <w:r w:rsidRPr="00AB09AD">
        <w:rPr>
          <w:rFonts w:ascii="Times New Roman" w:eastAsia="Times New Roman" w:hAnsi="Times New Roman"/>
          <w:iCs/>
        </w:rPr>
        <w:t xml:space="preserve">Mając na uwadze, że przyjęte zgłoszenie jest jednocześnie pozwoleniem na stosowanie procedury, przyjmuje się, że numerem pozwolenia </w:t>
      </w:r>
      <w:r w:rsidRPr="00AB09AD">
        <w:rPr>
          <w:rFonts w:ascii="Times New Roman" w:hAnsi="Times New Roman"/>
          <w:bCs/>
        </w:rPr>
        <w:t>udzielanego</w:t>
      </w:r>
      <w:r w:rsidRPr="00AB09AD">
        <w:rPr>
          <w:rFonts w:ascii="Times New Roman" w:hAnsi="Times New Roman"/>
        </w:rPr>
        <w:t xml:space="preserve"> </w:t>
      </w:r>
      <w:r w:rsidRPr="00AB09AD">
        <w:rPr>
          <w:rFonts w:ascii="Times New Roman" w:hAnsi="Times New Roman"/>
          <w:bCs/>
        </w:rPr>
        <w:t>na podstawie zgłoszenia celnego</w:t>
      </w:r>
      <w:r w:rsidRPr="00AB09AD">
        <w:rPr>
          <w:rFonts w:ascii="Times New Roman" w:hAnsi="Times New Roman"/>
        </w:rPr>
        <w:t xml:space="preserve"> </w:t>
      </w:r>
      <w:r w:rsidRPr="00AB09AD">
        <w:rPr>
          <w:rFonts w:ascii="Times New Roman" w:eastAsia="Times New Roman" w:hAnsi="Times New Roman"/>
          <w:iCs/>
        </w:rPr>
        <w:t xml:space="preserve">jest nr OGL (system CELINA) albo MRN (AES) zgłoszenia. Tak więc dla celów ewidencyjnych należy przyjąć, iż numer pozwolenia </w:t>
      </w:r>
      <w:r w:rsidRPr="00AB09AD">
        <w:rPr>
          <w:rFonts w:ascii="Times New Roman" w:hAnsi="Times New Roman"/>
          <w:bCs/>
        </w:rPr>
        <w:t>udzielanego</w:t>
      </w:r>
      <w:r w:rsidRPr="00AB09AD">
        <w:rPr>
          <w:rFonts w:ascii="Times New Roman" w:hAnsi="Times New Roman"/>
        </w:rPr>
        <w:t xml:space="preserve"> </w:t>
      </w:r>
      <w:r w:rsidRPr="00AB09AD">
        <w:rPr>
          <w:rFonts w:ascii="Times New Roman" w:hAnsi="Times New Roman"/>
          <w:bCs/>
        </w:rPr>
        <w:t>na podstawie zgłoszenia celnego</w:t>
      </w:r>
      <w:r w:rsidRPr="00AB09AD">
        <w:rPr>
          <w:rFonts w:ascii="Times New Roman" w:eastAsia="Times New Roman" w:hAnsi="Times New Roman"/>
          <w:iCs/>
        </w:rPr>
        <w:t>, to: N990 albo 00100 + nr OGL/MRN nadany zgłoszeniu, które stanowiło wniosek skrócony np. „N990OGL/351010/00/123456/2012”, bądź „00100OGL/351010/00/123456/2012” albo w AES „00100MRN</w:t>
      </w:r>
      <w:r w:rsidRPr="00AB09AD">
        <w:rPr>
          <w:rFonts w:ascii="Times New Roman" w:hAnsi="Times New Roman"/>
        </w:rPr>
        <w:t>18PL311010E00078510”.”;</w:t>
      </w:r>
    </w:p>
    <w:p w:rsidR="0073065F" w:rsidRDefault="0073065F" w:rsidP="0073065F">
      <w:pPr>
        <w:widowControl w:val="0"/>
        <w:tabs>
          <w:tab w:val="left" w:pos="2160"/>
        </w:tabs>
        <w:spacing w:after="120"/>
        <w:ind w:left="720"/>
        <w:jc w:val="both"/>
        <w:rPr>
          <w:rFonts w:ascii="Times New Roman" w:hAnsi="Times New Roman"/>
          <w:b/>
        </w:rPr>
      </w:pPr>
    </w:p>
    <w:p w:rsidR="0073065F" w:rsidRDefault="0073065F" w:rsidP="0073065F">
      <w:pPr>
        <w:widowControl w:val="0"/>
        <w:tabs>
          <w:tab w:val="left" w:pos="2160"/>
        </w:tabs>
        <w:spacing w:after="120"/>
        <w:ind w:left="720"/>
        <w:jc w:val="both"/>
        <w:rPr>
          <w:rFonts w:ascii="Times New Roman" w:hAnsi="Times New Roman"/>
          <w:b/>
        </w:rPr>
      </w:pPr>
    </w:p>
    <w:p w:rsidR="0073065F" w:rsidRPr="008924E1" w:rsidRDefault="0073065F" w:rsidP="0073065F">
      <w:pPr>
        <w:widowControl w:val="0"/>
        <w:tabs>
          <w:tab w:val="left" w:pos="2160"/>
        </w:tabs>
        <w:spacing w:after="120"/>
        <w:ind w:left="720"/>
        <w:jc w:val="both"/>
        <w:rPr>
          <w:rFonts w:ascii="Times New Roman" w:hAnsi="Times New Roman"/>
        </w:rPr>
      </w:pPr>
      <w:r>
        <w:rPr>
          <w:rFonts w:ascii="Times New Roman" w:hAnsi="Times New Roman"/>
          <w:b/>
        </w:rPr>
        <w:t>d</w:t>
      </w:r>
      <w:r w:rsidRPr="001E6DED">
        <w:rPr>
          <w:rFonts w:ascii="Times New Roman" w:hAnsi="Times New Roman"/>
          <w:b/>
        </w:rPr>
        <w:t>) w pkt 2</w:t>
      </w:r>
      <w:r>
        <w:rPr>
          <w:rFonts w:ascii="Times New Roman" w:hAnsi="Times New Roman"/>
          <w:b/>
        </w:rPr>
        <w:t xml:space="preserve">, w Sekcji B </w:t>
      </w:r>
      <w:r w:rsidRPr="008924E1">
        <w:rPr>
          <w:rFonts w:ascii="Times New Roman" w:hAnsi="Times New Roman"/>
        </w:rPr>
        <w:t>(str. 172-174) opisy kodów 7P16 i 7P22 otrzymują następujące brzmienie:</w:t>
      </w:r>
    </w:p>
    <w:p w:rsidR="0073065F" w:rsidRDefault="0073065F" w:rsidP="0073065F">
      <w:pPr>
        <w:jc w:val="both"/>
        <w:rPr>
          <w:b/>
          <w:bCs/>
        </w:rPr>
      </w:pPr>
    </w:p>
    <w:p w:rsidR="0073065F" w:rsidRPr="00EF5293" w:rsidRDefault="0073065F" w:rsidP="0073065F">
      <w:pPr>
        <w:jc w:val="both"/>
        <w:rPr>
          <w:rFonts w:ascii="Times New Roman" w:hAnsi="Times New Roman"/>
        </w:rPr>
      </w:pPr>
      <w:r>
        <w:rPr>
          <w:rFonts w:ascii="Times New Roman" w:hAnsi="Times New Roman"/>
          <w:b/>
          <w:bCs/>
        </w:rPr>
        <w:t>„</w:t>
      </w:r>
      <w:r w:rsidRPr="00EF5293">
        <w:rPr>
          <w:rFonts w:ascii="Times New Roman" w:hAnsi="Times New Roman"/>
          <w:b/>
          <w:bCs/>
        </w:rPr>
        <w:t>7P16</w:t>
      </w:r>
      <w:r w:rsidRPr="00EF5293">
        <w:rPr>
          <w:rFonts w:ascii="Times New Roman" w:hAnsi="Times New Roman"/>
        </w:rPr>
        <w:t xml:space="preserve"> – zezwolenia na obrót towarami z Wykazu uzbrojenia na podstawie przepisów ustawy o obrocie z zagranicą towarami, technologiami i usługami o znaczeniu strategicznym obejmujące zezwolenia indywidualne, wydawane na wniosek przedsiębiorcy, oraz zezwole</w:t>
      </w:r>
      <w:r>
        <w:rPr>
          <w:rFonts w:ascii="Times New Roman" w:hAnsi="Times New Roman"/>
        </w:rPr>
        <w:t>nia generalne krajowe ZG-PL-U-2,</w:t>
      </w:r>
      <w:r w:rsidRPr="00EF5293">
        <w:rPr>
          <w:rFonts w:ascii="Times New Roman" w:hAnsi="Times New Roman"/>
        </w:rPr>
        <w:t xml:space="preserve"> ZG-PL-U-3, ZG-PL-U-4, ZG-PL-U-5, ZG-PL-U-6, ZG-PL-U-7 wydane w formie rozporządzenia ministra właściwego do spraw gospodarki. </w:t>
      </w:r>
    </w:p>
    <w:p w:rsidR="0073065F" w:rsidRPr="00EF5293" w:rsidRDefault="0073065F" w:rsidP="0073065F">
      <w:pPr>
        <w:widowControl w:val="0"/>
        <w:tabs>
          <w:tab w:val="left" w:pos="2160"/>
        </w:tabs>
        <w:spacing w:after="120"/>
        <w:jc w:val="both"/>
        <w:rPr>
          <w:rFonts w:ascii="Times New Roman" w:hAnsi="Times New Roman"/>
          <w:b/>
        </w:rPr>
      </w:pPr>
      <w:r w:rsidRPr="00EF5293">
        <w:rPr>
          <w:rFonts w:ascii="Times New Roman" w:hAnsi="Times New Roman"/>
        </w:rPr>
        <w:t>Uwaga! W przypadku korzystania z krajowego zezwolenia generalnego przedsiębiorca obowiązany jest złożyć z wyprzedzeniem stosowne oświadczenie. Informacje odnośnie dopełnienia tego obowiązku znajdują się na stronie Ministerstwa Rozwoju</w:t>
      </w:r>
      <w:r>
        <w:rPr>
          <w:rFonts w:ascii="Times New Roman" w:hAnsi="Times New Roman"/>
        </w:rPr>
        <w:t>.”;</w:t>
      </w:r>
    </w:p>
    <w:p w:rsidR="0073065F" w:rsidRPr="00EF5293" w:rsidRDefault="0073065F" w:rsidP="0073065F">
      <w:pPr>
        <w:ind w:right="28"/>
        <w:jc w:val="both"/>
        <w:rPr>
          <w:rFonts w:ascii="Times New Roman" w:hAnsi="Times New Roman"/>
        </w:rPr>
      </w:pPr>
      <w:r>
        <w:rPr>
          <w:rFonts w:ascii="Times New Roman" w:hAnsi="Times New Roman"/>
          <w:b/>
          <w:bCs/>
        </w:rPr>
        <w:t>„</w:t>
      </w:r>
      <w:r w:rsidRPr="00EF5293">
        <w:rPr>
          <w:rFonts w:ascii="Times New Roman" w:hAnsi="Times New Roman"/>
          <w:b/>
          <w:bCs/>
        </w:rPr>
        <w:t>7P22</w:t>
      </w:r>
      <w:r w:rsidRPr="00EF5293">
        <w:rPr>
          <w:rFonts w:ascii="Times New Roman" w:hAnsi="Times New Roman"/>
        </w:rPr>
        <w:t xml:space="preserve"> - koncesja MSWiA na wykonywanie działalności gospodarczej w zakresie obrotu materiałami wybuchowymi, bronią, amunicją oraz wyrobami i technologiami o przeznaczeniu wojskowym lub policyjnym w przypadku, gdy brak wymogu uzyskania zezwolenia ministra właściwego ds. gospodarki </w:t>
      </w:r>
      <w:r>
        <w:rPr>
          <w:rFonts w:ascii="Times New Roman" w:hAnsi="Times New Roman"/>
        </w:rPr>
        <w:t>na obrót tego rodzaju towarami.”;</w:t>
      </w:r>
    </w:p>
    <w:p w:rsidR="0073065F" w:rsidRDefault="0073065F" w:rsidP="0073065F">
      <w:pPr>
        <w:widowControl w:val="0"/>
        <w:tabs>
          <w:tab w:val="left" w:pos="2160"/>
        </w:tabs>
        <w:spacing w:after="120"/>
        <w:ind w:left="720"/>
        <w:jc w:val="both"/>
        <w:rPr>
          <w:rFonts w:ascii="Times New Roman" w:hAnsi="Times New Roman"/>
          <w:b/>
        </w:rPr>
      </w:pPr>
    </w:p>
    <w:p w:rsidR="0073065F" w:rsidRPr="00FA1758" w:rsidRDefault="0073065F" w:rsidP="0073065F">
      <w:pPr>
        <w:widowControl w:val="0"/>
        <w:tabs>
          <w:tab w:val="left" w:pos="2160"/>
        </w:tabs>
        <w:spacing w:after="120"/>
        <w:ind w:left="720"/>
        <w:jc w:val="both"/>
        <w:rPr>
          <w:rFonts w:ascii="Times New Roman" w:eastAsia="Times New Roman" w:hAnsi="Times New Roman"/>
          <w:iCs/>
        </w:rPr>
      </w:pPr>
      <w:r>
        <w:rPr>
          <w:rFonts w:ascii="Times New Roman" w:hAnsi="Times New Roman"/>
          <w:b/>
        </w:rPr>
        <w:t>e</w:t>
      </w:r>
      <w:r w:rsidRPr="001E6DED">
        <w:rPr>
          <w:rFonts w:ascii="Times New Roman" w:hAnsi="Times New Roman"/>
          <w:b/>
        </w:rPr>
        <w:t>) w pkt 2</w:t>
      </w:r>
      <w:r>
        <w:rPr>
          <w:rFonts w:ascii="Times New Roman" w:hAnsi="Times New Roman"/>
          <w:b/>
        </w:rPr>
        <w:t>, w Sekcji C (str. 174-176) wykreśla się kod 3DK4 wraz z opisem</w:t>
      </w:r>
      <w:r w:rsidRPr="001E6DED">
        <w:rPr>
          <w:rFonts w:ascii="Times New Roman" w:hAnsi="Times New Roman"/>
          <w:b/>
        </w:rPr>
        <w:t>:</w:t>
      </w:r>
    </w:p>
    <w:p w:rsidR="0073065F" w:rsidRDefault="0073065F" w:rsidP="0073065F">
      <w:pPr>
        <w:spacing w:after="240"/>
        <w:ind w:right="50"/>
        <w:rPr>
          <w:rFonts w:ascii="Times New Roman" w:hAnsi="Times New Roman"/>
          <w:lang w:eastAsia="pl-PL"/>
        </w:rPr>
      </w:pPr>
      <w:r w:rsidRPr="00ED0CB4">
        <w:rPr>
          <w:rFonts w:ascii="Times New Roman" w:hAnsi="Times New Roman"/>
          <w:b/>
          <w:lang w:eastAsia="pl-PL"/>
        </w:rPr>
        <w:t>„3DK4</w:t>
      </w:r>
      <w:r w:rsidRPr="00ED0CB4">
        <w:rPr>
          <w:rFonts w:ascii="Times New Roman" w:hAnsi="Times New Roman"/>
          <w:lang w:eastAsia="pl-PL"/>
        </w:rPr>
        <w:t xml:space="preserve"> – pozwolenie na prowadzenie magazynu czasowego składowania;”;</w:t>
      </w:r>
    </w:p>
    <w:p w:rsidR="0073065F" w:rsidRDefault="0073065F" w:rsidP="0073065F">
      <w:pPr>
        <w:spacing w:after="240"/>
        <w:ind w:right="50"/>
        <w:rPr>
          <w:rFonts w:ascii="Times New Roman" w:hAnsi="Times New Roman"/>
          <w:lang w:eastAsia="pl-PL"/>
        </w:rPr>
      </w:pPr>
    </w:p>
    <w:p w:rsidR="0073065F" w:rsidRDefault="0073065F" w:rsidP="0073065F">
      <w:pPr>
        <w:spacing w:after="240"/>
        <w:ind w:right="50"/>
        <w:jc w:val="both"/>
        <w:rPr>
          <w:rFonts w:ascii="Times New Roman" w:hAnsi="Times New Roman"/>
          <w:lang w:eastAsia="pl-PL"/>
        </w:rPr>
      </w:pPr>
      <w:r>
        <w:rPr>
          <w:rFonts w:ascii="Times New Roman" w:hAnsi="Times New Roman"/>
          <w:lang w:eastAsia="pl-PL"/>
        </w:rPr>
        <w:lastRenderedPageBreak/>
        <w:tab/>
      </w:r>
      <w:r w:rsidRPr="00320C7F">
        <w:rPr>
          <w:rFonts w:ascii="Times New Roman" w:hAnsi="Times New Roman"/>
          <w:b/>
          <w:lang w:eastAsia="pl-PL"/>
        </w:rPr>
        <w:t>5)</w:t>
      </w:r>
      <w:r>
        <w:rPr>
          <w:rFonts w:ascii="Times New Roman" w:hAnsi="Times New Roman"/>
          <w:lang w:eastAsia="pl-PL"/>
        </w:rPr>
        <w:t xml:space="preserve"> </w:t>
      </w:r>
      <w:r w:rsidRPr="00320C7F">
        <w:rPr>
          <w:rFonts w:ascii="Times New Roman" w:hAnsi="Times New Roman"/>
          <w:b/>
          <w:lang w:eastAsia="pl-PL"/>
        </w:rPr>
        <w:t>w opisie pola 47 w pkt 5. Piąta kolumna: Metoda płatności”</w:t>
      </w:r>
      <w:r>
        <w:rPr>
          <w:rFonts w:ascii="Times New Roman" w:hAnsi="Times New Roman"/>
          <w:lang w:eastAsia="pl-PL"/>
        </w:rPr>
        <w:t>, uwaga pierwsza na str. 184 dotycząca metody płatności „L” otrzymuje następujące brzmienie (zmiany wyboldowane):</w:t>
      </w:r>
    </w:p>
    <w:p w:rsidR="0073065F" w:rsidRPr="00577796" w:rsidRDefault="0073065F" w:rsidP="0073065F">
      <w:pPr>
        <w:jc w:val="both"/>
        <w:rPr>
          <w:rFonts w:ascii="Times New Roman" w:hAnsi="Times New Roman"/>
          <w:bCs/>
        </w:rPr>
      </w:pPr>
      <w:r w:rsidRPr="00577796">
        <w:rPr>
          <w:rFonts w:ascii="Times New Roman" w:hAnsi="Times New Roman"/>
          <w:b/>
          <w:bCs/>
        </w:rPr>
        <w:t xml:space="preserve">„Uwaga! </w:t>
      </w:r>
      <w:r w:rsidRPr="00577796">
        <w:rPr>
          <w:rFonts w:ascii="Times New Roman" w:hAnsi="Times New Roman"/>
        </w:rPr>
        <w:t>Jeżeli ze zgłoszenia celnego nie wynika obowiązek uiszczenia należności (np. stawka zerowa lub w całości zawieszona, także zawieszony pobór akcyzy</w:t>
      </w:r>
      <w:r w:rsidRPr="00577796">
        <w:rPr>
          <w:rFonts w:ascii="Times New Roman" w:hAnsi="Times New Roman"/>
          <w:lang w:eastAsia="pl-PL"/>
        </w:rPr>
        <w:t>, procedura uszlachetniania czynnego,</w:t>
      </w:r>
      <w:r w:rsidRPr="00577796">
        <w:rPr>
          <w:rFonts w:ascii="Times New Roman" w:hAnsi="Times New Roman"/>
          <w:b/>
          <w:lang w:eastAsia="pl-PL"/>
        </w:rPr>
        <w:t xml:space="preserve"> </w:t>
      </w:r>
      <w:r w:rsidRPr="00577796">
        <w:rPr>
          <w:rFonts w:ascii="Times New Roman" w:hAnsi="Times New Roman"/>
          <w:lang w:eastAsia="pl-PL"/>
        </w:rPr>
        <w:t xml:space="preserve">albo gdy </w:t>
      </w:r>
      <w:r w:rsidRPr="00577796">
        <w:rPr>
          <w:rFonts w:ascii="Times New Roman" w:hAnsi="Times New Roman"/>
        </w:rPr>
        <w:t xml:space="preserve">posiadacz pozwolenia na stosowanie procedury uproszczonej rozlicza w deklaracji podatkowej podatek VAT z tytułu importu zgodnie z art. 33a ustawy o podatku od towarów i usług) i jeżeli nie towarzyszy temu zabezpieczenie składane na podstawie przepisów prawa celnego lub podatkowego, w zakresie w jakim przepisy prawa podatkowego odsyłają do prawa celnego </w:t>
      </w:r>
      <w:r w:rsidRPr="00577796">
        <w:rPr>
          <w:rFonts w:ascii="Times New Roman" w:hAnsi="Times New Roman"/>
          <w:b/>
        </w:rPr>
        <w:t xml:space="preserve">albo jeżeli zabezpieczenie </w:t>
      </w:r>
      <w:r w:rsidRPr="00577796">
        <w:rPr>
          <w:rFonts w:ascii="Times New Roman" w:hAnsi="Times New Roman"/>
        </w:rPr>
        <w:t xml:space="preserve">w procedurze uszlachetniania czynnego lub odprawy czasowej (o ile zgłoszenie celne do którejkolwiek w tych procedur nie stanowi równocześnie wniosku o udzielenie pozwolenia na stosowanie procedury specjalnej na podstawie zgłoszenia celnego) </w:t>
      </w:r>
      <w:r w:rsidRPr="00577796">
        <w:rPr>
          <w:rFonts w:ascii="Times New Roman" w:hAnsi="Times New Roman"/>
          <w:b/>
        </w:rPr>
        <w:t>zostało złożone lecz</w:t>
      </w:r>
      <w:r w:rsidRPr="00577796">
        <w:rPr>
          <w:rFonts w:ascii="Times New Roman" w:hAnsi="Times New Roman"/>
          <w:b/>
          <w:lang w:eastAsia="pl-PL"/>
        </w:rPr>
        <w:t xml:space="preserve"> nie podlega ono saldowaniu na etapie obsługi zgłoszenia celnego lecz monitorowaniu w drodze audytu</w:t>
      </w:r>
      <w:r w:rsidRPr="00577796">
        <w:rPr>
          <w:rFonts w:ascii="Times New Roman" w:hAnsi="Times New Roman"/>
        </w:rPr>
        <w:t xml:space="preserve">, w kolumnie piątej należy wpisać kod </w:t>
      </w:r>
      <w:r w:rsidRPr="00577796">
        <w:rPr>
          <w:rFonts w:ascii="Times New Roman" w:hAnsi="Times New Roman"/>
          <w:bCs/>
        </w:rPr>
        <w:t xml:space="preserve">„L”. </w:t>
      </w:r>
    </w:p>
    <w:p w:rsidR="0073065F" w:rsidRPr="00577796" w:rsidRDefault="0073065F" w:rsidP="0073065F">
      <w:pPr>
        <w:jc w:val="both"/>
        <w:rPr>
          <w:rFonts w:ascii="Times New Roman" w:hAnsi="Times New Roman"/>
        </w:rPr>
      </w:pPr>
      <w:r w:rsidRPr="00577796">
        <w:rPr>
          <w:rFonts w:ascii="Times New Roman" w:hAnsi="Times New Roman"/>
        </w:rPr>
        <w:t xml:space="preserve">Metoda płatności „L” podawana jest zawsze w przypadku procedury zawieszenia poboru akcyzy (dla której występuje zabezpieczenie akcyzowe), tzn. gdy w pierwszej części pola 37 zgłoszenia celnego występuje kod procedury „45” albo „68” albo w drugiej części pola 37 jako kod uszczegóławiający procedurę występuje kod „F06”. </w:t>
      </w:r>
    </w:p>
    <w:p w:rsidR="0073065F" w:rsidRPr="00577796" w:rsidRDefault="0073065F" w:rsidP="0073065F">
      <w:pPr>
        <w:jc w:val="both"/>
        <w:rPr>
          <w:rFonts w:ascii="Times New Roman" w:hAnsi="Times New Roman"/>
          <w:b/>
          <w:bCs/>
        </w:rPr>
      </w:pPr>
      <w:r w:rsidRPr="00577796">
        <w:rPr>
          <w:rFonts w:ascii="Times New Roman" w:hAnsi="Times New Roman"/>
        </w:rPr>
        <w:t xml:space="preserve">Jednakże w wypadku, gdy brak obowiązku uiszczenia należności wynika z faktu zastosowania przewidzianego w prawie całkowitego zwolnienia od należności celnych i/lub podatkowych, w kolumnie tej należy wpisać kod </w:t>
      </w:r>
      <w:r w:rsidRPr="00577796">
        <w:rPr>
          <w:rFonts w:ascii="Times New Roman" w:hAnsi="Times New Roman"/>
          <w:b/>
          <w:bCs/>
        </w:rPr>
        <w:t>„Z”.”;</w:t>
      </w:r>
    </w:p>
    <w:p w:rsidR="0073065F" w:rsidRDefault="0073065F" w:rsidP="0073065F">
      <w:pPr>
        <w:spacing w:after="240"/>
        <w:ind w:right="50"/>
        <w:jc w:val="both"/>
        <w:rPr>
          <w:rFonts w:ascii="Times New Roman" w:hAnsi="Times New Roman"/>
          <w:lang w:eastAsia="pl-PL"/>
        </w:rPr>
      </w:pPr>
    </w:p>
    <w:p w:rsidR="0073065F" w:rsidRPr="00320C7F" w:rsidRDefault="0073065F" w:rsidP="0073065F">
      <w:pPr>
        <w:jc w:val="both"/>
        <w:rPr>
          <w:rFonts w:ascii="Times New Roman" w:hAnsi="Times New Roman"/>
        </w:rPr>
      </w:pPr>
      <w:r w:rsidRPr="00320C7F">
        <w:rPr>
          <w:rFonts w:ascii="Times New Roman" w:hAnsi="Times New Roman"/>
          <w:i/>
        </w:rPr>
        <w:t xml:space="preserve">Zmiana opisu metody płatności „L” </w:t>
      </w:r>
      <w:r>
        <w:rPr>
          <w:rFonts w:ascii="Times New Roman" w:hAnsi="Times New Roman"/>
          <w:i/>
        </w:rPr>
        <w:t xml:space="preserve">w powiązaniu z kodem 4PL07 </w:t>
      </w:r>
      <w:r w:rsidRPr="00320C7F">
        <w:rPr>
          <w:rFonts w:ascii="Times New Roman" w:hAnsi="Times New Roman"/>
          <w:i/>
        </w:rPr>
        <w:t>ma na celu umożliwienie stosowania monitorowania zabezpieczenia w drodze audytu w procedurze uszlachetniania czynnego i odprawy czasowej, uzyskanie zgodności z wynikającym z Załącznika B do Rozporządzenia Delegowanego do UKC wymogiem dotyczącym podania (dla wybranych procedur specjalnych) numeru referencyjnego zabezpieczenia, a także zapewnienie odpowiedniego monitorowania zabezpieczenia w drodze audytu, w sytuacjach, gdy zabezpieczenie nie będzie podlegać saldowaniu w systemie OSOZ2 podczas obsługi zgłoszenia celnego</w:t>
      </w:r>
      <w:r>
        <w:rPr>
          <w:rFonts w:ascii="Times New Roman" w:hAnsi="Times New Roman"/>
        </w:rPr>
        <w:t>;</w:t>
      </w:r>
    </w:p>
    <w:p w:rsidR="0073065F" w:rsidRDefault="0073065F" w:rsidP="0073065F">
      <w:pPr>
        <w:jc w:val="both"/>
        <w:rPr>
          <w:rFonts w:ascii="Times New Roman" w:hAnsi="Times New Roman"/>
        </w:rPr>
      </w:pPr>
    </w:p>
    <w:p w:rsidR="0073065F" w:rsidRDefault="0073065F" w:rsidP="0073065F">
      <w:pPr>
        <w:jc w:val="both"/>
        <w:rPr>
          <w:rFonts w:ascii="Times New Roman" w:hAnsi="Times New Roman"/>
        </w:rPr>
      </w:pPr>
    </w:p>
    <w:p w:rsidR="0073065F" w:rsidRDefault="0073065F" w:rsidP="0073065F">
      <w:pPr>
        <w:spacing w:after="240"/>
        <w:ind w:right="50"/>
        <w:jc w:val="both"/>
        <w:rPr>
          <w:rFonts w:ascii="Times New Roman" w:hAnsi="Times New Roman"/>
          <w:bCs/>
        </w:rPr>
      </w:pPr>
      <w:r w:rsidRPr="006F7298">
        <w:rPr>
          <w:rFonts w:ascii="Times New Roman" w:hAnsi="Times New Roman"/>
          <w:b/>
          <w:lang w:eastAsia="pl-PL"/>
        </w:rPr>
        <w:t>3.</w:t>
      </w:r>
      <w:r>
        <w:rPr>
          <w:rFonts w:ascii="Times New Roman" w:hAnsi="Times New Roman"/>
          <w:lang w:eastAsia="pl-PL"/>
        </w:rPr>
        <w:t xml:space="preserve"> </w:t>
      </w:r>
      <w:r w:rsidRPr="00F6309A">
        <w:rPr>
          <w:rFonts w:ascii="Times New Roman" w:hAnsi="Times New Roman"/>
          <w:b/>
          <w:lang w:eastAsia="pl-PL"/>
        </w:rPr>
        <w:t>W części VI, przypadek szczególny</w:t>
      </w:r>
      <w:r w:rsidRPr="006F7298">
        <w:rPr>
          <w:rFonts w:ascii="Times New Roman" w:hAnsi="Times New Roman"/>
          <w:lang w:eastAsia="pl-PL"/>
        </w:rPr>
        <w:t xml:space="preserve"> </w:t>
      </w:r>
      <w:r w:rsidRPr="006F7298">
        <w:rPr>
          <w:rFonts w:ascii="Times New Roman" w:hAnsi="Times New Roman"/>
          <w:b/>
          <w:lang w:eastAsia="pl-PL"/>
        </w:rPr>
        <w:t>„13.</w:t>
      </w:r>
      <w:r w:rsidRPr="006F7298">
        <w:rPr>
          <w:rFonts w:ascii="Times New Roman" w:hAnsi="Times New Roman"/>
          <w:b/>
          <w:bCs/>
          <w:sz w:val="28"/>
          <w:szCs w:val="28"/>
        </w:rPr>
        <w:t xml:space="preserve"> </w:t>
      </w:r>
      <w:r w:rsidRPr="006F7298">
        <w:rPr>
          <w:rFonts w:ascii="Times New Roman" w:hAnsi="Times New Roman"/>
          <w:b/>
          <w:bCs/>
        </w:rPr>
        <w:t xml:space="preserve">Zasady wypełniania Pola 44 zgłoszenia celnego w obrocie towarami strategicznymi (produkty podwójnego zastosowania  i uzbrojenie) </w:t>
      </w:r>
      <w:r w:rsidRPr="006F7298">
        <w:rPr>
          <w:rFonts w:ascii="Times New Roman" w:hAnsi="Times New Roman"/>
          <w:bCs/>
        </w:rPr>
        <w:t>w pkt 2 (str. 227</w:t>
      </w:r>
      <w:r>
        <w:rPr>
          <w:rFonts w:ascii="Times New Roman" w:hAnsi="Times New Roman"/>
          <w:bCs/>
        </w:rPr>
        <w:t>-228</w:t>
      </w:r>
      <w:r w:rsidRPr="006F7298">
        <w:rPr>
          <w:rFonts w:ascii="Times New Roman" w:hAnsi="Times New Roman"/>
          <w:bCs/>
        </w:rPr>
        <w:t>) otrzymują następujące brzmienie:</w:t>
      </w:r>
    </w:p>
    <w:p w:rsidR="0073065F" w:rsidRPr="006F7298" w:rsidRDefault="0073065F" w:rsidP="0073065F">
      <w:pPr>
        <w:spacing w:after="120"/>
        <w:ind w:left="360"/>
        <w:jc w:val="both"/>
        <w:rPr>
          <w:rFonts w:ascii="Times New Roman" w:hAnsi="Times New Roman"/>
          <w:b/>
          <w:bCs/>
        </w:rPr>
      </w:pPr>
      <w:r w:rsidRPr="006F7298">
        <w:rPr>
          <w:rFonts w:ascii="Times New Roman" w:hAnsi="Times New Roman"/>
          <w:b/>
          <w:bCs/>
        </w:rPr>
        <w:t>„2.Grupa kodów CN odnosząca się do towarów z wykazu uzbrojenia, do których w bazie ISZTAR  nie zostały przypisane kody unijne X002 i Y901.</w:t>
      </w:r>
    </w:p>
    <w:p w:rsidR="0073065F" w:rsidRPr="006F7298" w:rsidRDefault="0073065F" w:rsidP="0073065F">
      <w:pPr>
        <w:pStyle w:val="Akapitzlist"/>
        <w:widowControl w:val="0"/>
        <w:numPr>
          <w:ilvl w:val="0"/>
          <w:numId w:val="29"/>
        </w:numPr>
        <w:tabs>
          <w:tab w:val="left" w:pos="709"/>
          <w:tab w:val="left" w:pos="1134"/>
          <w:tab w:val="left" w:pos="2268"/>
        </w:tabs>
        <w:spacing w:after="120"/>
        <w:jc w:val="both"/>
        <w:rPr>
          <w:rFonts w:ascii="Times New Roman" w:hAnsi="Times New Roman"/>
        </w:rPr>
      </w:pPr>
      <w:r w:rsidRPr="006F7298">
        <w:rPr>
          <w:rFonts w:ascii="Times New Roman" w:hAnsi="Times New Roman"/>
        </w:rPr>
        <w:t xml:space="preserve">W przypadku, gdy do zgłoszenia celnego dołączone jest zezwolenie na wywóz, wydane przez organ kontroli obrotu, należy umieścić kod krajowy </w:t>
      </w:r>
      <w:r w:rsidRPr="006F7298">
        <w:rPr>
          <w:rFonts w:ascii="Times New Roman" w:hAnsi="Times New Roman"/>
          <w:b/>
          <w:bCs/>
        </w:rPr>
        <w:t>7P16</w:t>
      </w:r>
      <w:r w:rsidRPr="006F7298">
        <w:rPr>
          <w:rFonts w:ascii="Times New Roman" w:hAnsi="Times New Roman"/>
        </w:rPr>
        <w:t>, a po nim numer dołączonego zezwolenia. Numer posiada format E/</w:t>
      </w:r>
      <w:r w:rsidRPr="006F7298">
        <w:rPr>
          <w:rFonts w:ascii="Times New Roman" w:hAnsi="Times New Roman"/>
          <w:bCs/>
        </w:rPr>
        <w:t>LU</w:t>
      </w:r>
      <w:r w:rsidRPr="006F7298">
        <w:rPr>
          <w:rFonts w:ascii="Times New Roman" w:hAnsi="Times New Roman"/>
        </w:rPr>
        <w:t>/I/12345/12, gdzie LU oznacza, że przedmiotem licencjonowania jest towar z wykazu uzbrojenia.</w:t>
      </w:r>
    </w:p>
    <w:p w:rsidR="0073065F" w:rsidRPr="006F7298" w:rsidRDefault="0073065F" w:rsidP="0073065F">
      <w:pPr>
        <w:pStyle w:val="Akapitzlist"/>
        <w:numPr>
          <w:ilvl w:val="0"/>
          <w:numId w:val="29"/>
        </w:numPr>
        <w:jc w:val="both"/>
        <w:rPr>
          <w:rFonts w:ascii="Times New Roman" w:hAnsi="Times New Roman"/>
        </w:rPr>
      </w:pPr>
      <w:r w:rsidRPr="006F7298">
        <w:rPr>
          <w:rFonts w:ascii="Times New Roman" w:hAnsi="Times New Roman"/>
        </w:rPr>
        <w:t xml:space="preserve">Jeżeli wywóz towaru z Wykazu uzbrojenia dokonywany jest na podstawie krajowego zezwolenia generalnego ZG-PL-U-2, ZG-PL-U-3, ZG-PL-U-4, ZG-PL-U-5, ZG-PL-U-6 lub ZG-PL-U-7, a eksporter złożył organowi kontroli obrotu oświadczenie o terminie rozpoczęcia tego obrotu, należy umieścić kod </w:t>
      </w:r>
      <w:r w:rsidRPr="006F7298">
        <w:rPr>
          <w:rFonts w:ascii="Times New Roman" w:hAnsi="Times New Roman"/>
          <w:b/>
          <w:bCs/>
        </w:rPr>
        <w:t>7P16</w:t>
      </w:r>
      <w:r w:rsidRPr="006F7298">
        <w:rPr>
          <w:rFonts w:ascii="Times New Roman" w:hAnsi="Times New Roman"/>
        </w:rPr>
        <w:t>, a po nim numer właściwego zezwolenia.</w:t>
      </w:r>
    </w:p>
    <w:p w:rsidR="0073065F" w:rsidRPr="006F7298" w:rsidRDefault="0073065F" w:rsidP="0073065F">
      <w:pPr>
        <w:widowControl w:val="0"/>
        <w:numPr>
          <w:ilvl w:val="0"/>
          <w:numId w:val="29"/>
        </w:numPr>
        <w:tabs>
          <w:tab w:val="left" w:pos="709"/>
          <w:tab w:val="left" w:pos="1134"/>
          <w:tab w:val="left" w:pos="1701"/>
          <w:tab w:val="left" w:pos="2268"/>
        </w:tabs>
        <w:spacing w:after="200" w:line="276" w:lineRule="auto"/>
        <w:jc w:val="both"/>
        <w:rPr>
          <w:rFonts w:ascii="Times New Roman" w:hAnsi="Times New Roman"/>
        </w:rPr>
      </w:pPr>
      <w:r w:rsidRPr="006F7298">
        <w:rPr>
          <w:rFonts w:ascii="Times New Roman" w:hAnsi="Times New Roman"/>
        </w:rPr>
        <w:lastRenderedPageBreak/>
        <w:t xml:space="preserve">Jeżeli do zgłoszenia celnego nie dołączono zezwolenia, o którym mowa w punkcie </w:t>
      </w:r>
      <w:r w:rsidRPr="00C47B11">
        <w:rPr>
          <w:rFonts w:ascii="Times New Roman" w:hAnsi="Times New Roman"/>
        </w:rPr>
        <w:t>2.a,</w:t>
      </w:r>
      <w:r w:rsidRPr="006F7298">
        <w:rPr>
          <w:rFonts w:ascii="Times New Roman" w:hAnsi="Times New Roman"/>
        </w:rPr>
        <w:t xml:space="preserve"> właściwy jest </w:t>
      </w:r>
      <w:r w:rsidRPr="006F7298">
        <w:rPr>
          <w:rFonts w:ascii="Times New Roman" w:hAnsi="Times New Roman"/>
          <w:b/>
          <w:bCs/>
        </w:rPr>
        <w:t xml:space="preserve">kod krajowy 2DK2, </w:t>
      </w:r>
      <w:r w:rsidRPr="006F7298">
        <w:rPr>
          <w:rFonts w:ascii="Times New Roman" w:hAnsi="Times New Roman"/>
        </w:rPr>
        <w:t>pod warunkiem, że towar nie spełnia wymogów określonych  w wykazie uzbrojenia.</w:t>
      </w:r>
    </w:p>
    <w:p w:rsidR="0073065F" w:rsidRPr="006F7298" w:rsidRDefault="0073065F" w:rsidP="0073065F">
      <w:pPr>
        <w:widowControl w:val="0"/>
        <w:tabs>
          <w:tab w:val="left" w:pos="567"/>
          <w:tab w:val="left" w:pos="1134"/>
          <w:tab w:val="left" w:pos="1701"/>
          <w:tab w:val="left" w:pos="2268"/>
        </w:tabs>
        <w:jc w:val="both"/>
        <w:rPr>
          <w:rFonts w:ascii="Times New Roman" w:hAnsi="Times New Roman"/>
        </w:rPr>
      </w:pPr>
      <w:r w:rsidRPr="006F7298">
        <w:rPr>
          <w:rFonts w:ascii="Times New Roman" w:hAnsi="Times New Roman"/>
          <w:b/>
          <w:bCs/>
          <w:u w:val="single"/>
        </w:rPr>
        <w:t>Uwaga 1.</w:t>
      </w:r>
      <w:r w:rsidRPr="006F7298">
        <w:rPr>
          <w:rFonts w:ascii="Times New Roman" w:hAnsi="Times New Roman"/>
        </w:rPr>
        <w:t xml:space="preserve"> Umieszczenie w Polu 44 zgłoszenia kodu Y901 albo kodu 2DK2 jest formą oświadczenia złożonego przez zgłaszającego, że towar nie jest towarem o znaczeniu strategicznym (odpowiednio produktem podwójnego zastosowania albo towarem z wykazu uzbrojenia). Umieszczenie wszystkich przedmiotowych kodów, stosownie do sytuacji, jest obligatoryjne, przy czym zgłaszający powinien mieć na uwadze postanowienia art. 15 UKC.</w:t>
      </w:r>
    </w:p>
    <w:p w:rsidR="0073065F" w:rsidRPr="006F7298" w:rsidRDefault="0073065F" w:rsidP="0073065F">
      <w:pPr>
        <w:pStyle w:val="Akapitzlist"/>
        <w:widowControl w:val="0"/>
        <w:tabs>
          <w:tab w:val="left" w:pos="567"/>
          <w:tab w:val="left" w:pos="1134"/>
          <w:tab w:val="left" w:pos="1701"/>
          <w:tab w:val="left" w:pos="2268"/>
        </w:tabs>
        <w:jc w:val="both"/>
        <w:rPr>
          <w:rFonts w:ascii="Times New Roman" w:hAnsi="Times New Roman"/>
        </w:rPr>
      </w:pPr>
    </w:p>
    <w:p w:rsidR="0073065F" w:rsidRPr="006F7298" w:rsidRDefault="0073065F" w:rsidP="0073065F">
      <w:pPr>
        <w:widowControl w:val="0"/>
        <w:tabs>
          <w:tab w:val="left" w:pos="567"/>
          <w:tab w:val="left" w:pos="1134"/>
          <w:tab w:val="left" w:pos="1701"/>
          <w:tab w:val="left" w:pos="2268"/>
        </w:tabs>
        <w:jc w:val="both"/>
        <w:rPr>
          <w:rFonts w:ascii="Times New Roman" w:hAnsi="Times New Roman"/>
          <w:b/>
          <w:bCs/>
        </w:rPr>
      </w:pPr>
      <w:r w:rsidRPr="006F7298">
        <w:rPr>
          <w:rFonts w:ascii="Times New Roman" w:hAnsi="Times New Roman"/>
          <w:b/>
          <w:bCs/>
          <w:u w:val="single"/>
        </w:rPr>
        <w:t>Uwaga 2.</w:t>
      </w:r>
      <w:r w:rsidRPr="006F7298">
        <w:rPr>
          <w:rFonts w:ascii="Times New Roman" w:hAnsi="Times New Roman"/>
        </w:rPr>
        <w:t xml:space="preserve"> W przypadku wątpliwości organu celnego odnośnie statusu towaru, organ celny dąży do ustalenia, czy towar posiada cechy użytkowe i parametry techniczne określone w wykazie produktów podwójnego zastosowania lub wykazie uzbrojenia i w związku z tym, czy wymagane są stosowne zezwolenia.</w:t>
      </w:r>
    </w:p>
    <w:p w:rsidR="0073065F" w:rsidRPr="006F7298" w:rsidRDefault="0073065F" w:rsidP="0073065F">
      <w:pPr>
        <w:rPr>
          <w:rFonts w:ascii="Times New Roman" w:hAnsi="Times New Roman"/>
        </w:rPr>
      </w:pPr>
    </w:p>
    <w:p w:rsidR="0073065F" w:rsidRPr="006F7298" w:rsidRDefault="0073065F" w:rsidP="0073065F">
      <w:pPr>
        <w:jc w:val="both"/>
        <w:rPr>
          <w:rFonts w:ascii="Times New Roman" w:hAnsi="Times New Roman"/>
        </w:rPr>
      </w:pPr>
      <w:r w:rsidRPr="006F7298">
        <w:rPr>
          <w:rFonts w:ascii="Times New Roman" w:hAnsi="Times New Roman"/>
          <w:b/>
          <w:bCs/>
          <w:u w:val="single"/>
        </w:rPr>
        <w:t>Uwaga  3.</w:t>
      </w:r>
      <w:r w:rsidRPr="006F7298">
        <w:rPr>
          <w:rFonts w:ascii="Times New Roman" w:hAnsi="Times New Roman"/>
        </w:rPr>
        <w:t xml:space="preserve">   Przytoczone w punkcie 1 i 2 </w:t>
      </w:r>
      <w:r w:rsidRPr="000F00C8">
        <w:rPr>
          <w:rFonts w:ascii="Times New Roman" w:hAnsi="Times New Roman"/>
        </w:rPr>
        <w:t>numery zezwoleń</w:t>
      </w:r>
      <w:r>
        <w:rPr>
          <w:rFonts w:ascii="Times New Roman" w:hAnsi="Times New Roman"/>
        </w:rPr>
        <w:t>,</w:t>
      </w:r>
      <w:r w:rsidRPr="000F00C8">
        <w:rPr>
          <w:rFonts w:ascii="Times New Roman" w:hAnsi="Times New Roman"/>
        </w:rPr>
        <w:t xml:space="preserve"> stanowiących obligatoryjne załączniki do zgłoszeń celnych</w:t>
      </w:r>
      <w:r>
        <w:rPr>
          <w:rFonts w:ascii="Times New Roman" w:hAnsi="Times New Roman"/>
        </w:rPr>
        <w:t>,</w:t>
      </w:r>
      <w:r w:rsidRPr="000F00C8">
        <w:rPr>
          <w:rFonts w:ascii="Times New Roman" w:hAnsi="Times New Roman"/>
        </w:rPr>
        <w:t xml:space="preserve"> są oznaczeniami</w:t>
      </w:r>
      <w:r w:rsidRPr="006F7298">
        <w:rPr>
          <w:rFonts w:ascii="Times New Roman" w:hAnsi="Times New Roman"/>
        </w:rPr>
        <w:t xml:space="preserve"> przykładowymi. W praktyce w ciągu znaków numeru zezwolenia mogą występować inne symbole stosownie do rodzaju licencji i realizowanego obrotu. </w:t>
      </w:r>
    </w:p>
    <w:p w:rsidR="0073065F" w:rsidRPr="006F7298" w:rsidRDefault="0073065F" w:rsidP="0073065F">
      <w:pPr>
        <w:spacing w:after="120"/>
        <w:rPr>
          <w:rFonts w:ascii="Times New Roman" w:hAnsi="Times New Roman"/>
        </w:rPr>
      </w:pPr>
      <w:r w:rsidRPr="006F7298">
        <w:rPr>
          <w:rFonts w:ascii="Times New Roman" w:hAnsi="Times New Roman"/>
        </w:rPr>
        <w:t>W miejscu, gdzie znajduje się symbol E mogą występować następujące oznaczenia:</w:t>
      </w:r>
    </w:p>
    <w:p w:rsidR="0073065F" w:rsidRPr="006F7298" w:rsidRDefault="0073065F" w:rsidP="0073065F">
      <w:pPr>
        <w:pStyle w:val="Akapitzlist"/>
        <w:rPr>
          <w:rFonts w:ascii="Times New Roman" w:hAnsi="Times New Roman"/>
        </w:rPr>
      </w:pPr>
      <w:r w:rsidRPr="006F7298">
        <w:rPr>
          <w:rFonts w:ascii="Times New Roman" w:hAnsi="Times New Roman"/>
        </w:rPr>
        <w:t>- „ET” – w przypadku zezwoleń na wywóz towarów w ramach procedury uszlachetniania biernego lub na wystawy,</w:t>
      </w:r>
    </w:p>
    <w:p w:rsidR="0073065F" w:rsidRPr="006F7298" w:rsidRDefault="0073065F" w:rsidP="0073065F">
      <w:pPr>
        <w:pStyle w:val="Akapitzlist"/>
        <w:spacing w:after="120"/>
        <w:rPr>
          <w:rFonts w:ascii="Times New Roman" w:hAnsi="Times New Roman"/>
        </w:rPr>
      </w:pPr>
      <w:r w:rsidRPr="006F7298">
        <w:rPr>
          <w:rFonts w:ascii="Times New Roman" w:hAnsi="Times New Roman"/>
        </w:rPr>
        <w:t>- „EZ” –  w przypadku zezwoleń na wywóz towarów po zakończeniu procedury odprawy czasowej lub uszlachetniania czynnego,</w:t>
      </w:r>
    </w:p>
    <w:p w:rsidR="0073065F" w:rsidRPr="006F7298" w:rsidRDefault="0073065F" w:rsidP="0073065F">
      <w:pPr>
        <w:pStyle w:val="Akapitzlist"/>
        <w:jc w:val="both"/>
        <w:rPr>
          <w:rFonts w:ascii="Times New Roman" w:hAnsi="Times New Roman"/>
        </w:rPr>
      </w:pPr>
      <w:r w:rsidRPr="006F7298">
        <w:rPr>
          <w:rFonts w:ascii="Times New Roman" w:hAnsi="Times New Roman"/>
        </w:rPr>
        <w:t>W miejscu symbolu  „I” oznaczającego zezwolenie indywidualne może występować symbol „G”  oz</w:t>
      </w:r>
      <w:r>
        <w:rPr>
          <w:rFonts w:ascii="Times New Roman" w:hAnsi="Times New Roman"/>
        </w:rPr>
        <w:t>naczający zezwolenie globalne.”;</w:t>
      </w:r>
    </w:p>
    <w:p w:rsidR="0073065F" w:rsidRPr="00FA1758" w:rsidRDefault="0073065F" w:rsidP="0073065F">
      <w:pPr>
        <w:rPr>
          <w:rFonts w:ascii="Times New Roman" w:hAnsi="Times New Roman"/>
        </w:rPr>
      </w:pPr>
    </w:p>
    <w:p w:rsidR="0073065F" w:rsidRDefault="0073065F" w:rsidP="0073065F">
      <w:pPr>
        <w:spacing w:before="240"/>
        <w:jc w:val="both"/>
        <w:rPr>
          <w:rFonts w:ascii="Times New Roman" w:hAnsi="Times New Roman"/>
          <w:b/>
        </w:rPr>
      </w:pPr>
      <w:r>
        <w:rPr>
          <w:rFonts w:ascii="Times New Roman" w:hAnsi="Times New Roman"/>
          <w:b/>
        </w:rPr>
        <w:t>4. W</w:t>
      </w:r>
      <w:r w:rsidRPr="002640B1">
        <w:rPr>
          <w:rFonts w:ascii="Times New Roman" w:hAnsi="Times New Roman"/>
          <w:b/>
        </w:rPr>
        <w:t xml:space="preserve"> części </w:t>
      </w:r>
      <w:r>
        <w:rPr>
          <w:rFonts w:ascii="Times New Roman" w:hAnsi="Times New Roman"/>
          <w:b/>
        </w:rPr>
        <w:t>IX</w:t>
      </w:r>
      <w:r w:rsidRPr="00FA1758">
        <w:rPr>
          <w:rFonts w:ascii="Times New Roman" w:hAnsi="Times New Roman"/>
        </w:rPr>
        <w:t xml:space="preserve"> </w:t>
      </w:r>
      <w:r w:rsidRPr="004B4D7E">
        <w:rPr>
          <w:rFonts w:ascii="Times New Roman" w:hAnsi="Times New Roman"/>
          <w:b/>
        </w:rPr>
        <w:t>Sekcja B „Wypełnianie zgłoszenia kurierskiego w systemie AES”</w:t>
      </w:r>
      <w:r>
        <w:rPr>
          <w:rFonts w:ascii="Times New Roman" w:hAnsi="Times New Roman"/>
        </w:rPr>
        <w:t xml:space="preserve"> zmienia się akapit trzeci w następujący sposób:</w:t>
      </w:r>
    </w:p>
    <w:p w:rsidR="0073065F" w:rsidRPr="00591151" w:rsidRDefault="0073065F" w:rsidP="0073065F">
      <w:pPr>
        <w:spacing w:before="240"/>
        <w:jc w:val="both"/>
        <w:rPr>
          <w:rFonts w:ascii="Times New Roman" w:hAnsi="Times New Roman"/>
        </w:rPr>
      </w:pPr>
      <w:r>
        <w:rPr>
          <w:rFonts w:ascii="Times New Roman" w:hAnsi="Times New Roman"/>
        </w:rPr>
        <w:t xml:space="preserve">- </w:t>
      </w:r>
      <w:r w:rsidRPr="004B4D7E">
        <w:rPr>
          <w:rFonts w:ascii="Times New Roman" w:hAnsi="Times New Roman"/>
          <w:b/>
          <w:i/>
        </w:rPr>
        <w:t>jest:</w:t>
      </w:r>
    </w:p>
    <w:p w:rsidR="0073065F" w:rsidRPr="00591151" w:rsidRDefault="0073065F" w:rsidP="0073065F">
      <w:pPr>
        <w:widowControl w:val="0"/>
        <w:jc w:val="both"/>
        <w:rPr>
          <w:rFonts w:ascii="Times New Roman" w:hAnsi="Times New Roman"/>
        </w:rPr>
      </w:pPr>
      <w:r>
        <w:rPr>
          <w:rFonts w:ascii="Times New Roman" w:hAnsi="Times New Roman"/>
        </w:rPr>
        <w:t>„</w:t>
      </w:r>
      <w:r w:rsidRPr="00591151">
        <w:rPr>
          <w:rFonts w:ascii="Times New Roman" w:hAnsi="Times New Roman"/>
        </w:rPr>
        <w:t xml:space="preserve">W związku z powyższym w systemie AES jest możliwość dokonania zgłoszenia o objęcie procedurą wywozu paczek zawierających towary niepodlegające należnościom celnym wywozowym, których łączna wartość w jednej </w:t>
      </w:r>
      <w:r w:rsidRPr="00181AD7">
        <w:rPr>
          <w:rFonts w:ascii="Times New Roman" w:hAnsi="Times New Roman"/>
        </w:rPr>
        <w:t>przesyłce</w:t>
      </w:r>
      <w:r w:rsidRPr="00591151">
        <w:rPr>
          <w:rFonts w:ascii="Times New Roman" w:hAnsi="Times New Roman"/>
        </w:rPr>
        <w:t xml:space="preserve"> nie przekracza równowartości 1000 euro (jedna paczka o wartości do 1000 euro lub wiele paczek składających się na przesyłkę o wartości do 1000 euro). Zgłoszenie takie może mieć tylko i wyłącznie postać zgłoszenia jednopozycyjnego. </w:t>
      </w:r>
    </w:p>
    <w:p w:rsidR="0073065F" w:rsidRPr="00591151" w:rsidRDefault="0073065F" w:rsidP="0073065F">
      <w:pPr>
        <w:widowControl w:val="0"/>
        <w:jc w:val="both"/>
        <w:rPr>
          <w:rFonts w:ascii="Times New Roman" w:hAnsi="Times New Roman"/>
        </w:rPr>
      </w:pPr>
      <w:r w:rsidRPr="00591151">
        <w:rPr>
          <w:rFonts w:ascii="Times New Roman" w:hAnsi="Times New Roman"/>
        </w:rPr>
        <w:t>W jednej pozycji zgłoszenia celnego może zostać zgłoszone jedna/wiele przesyłek, z których każda nie przekracza wartości 1000 euro.</w:t>
      </w:r>
      <w:r>
        <w:rPr>
          <w:rFonts w:ascii="Times New Roman" w:hAnsi="Times New Roman"/>
        </w:rPr>
        <w:t>”;</w:t>
      </w:r>
    </w:p>
    <w:p w:rsidR="0073065F" w:rsidRPr="00591151" w:rsidRDefault="0073065F" w:rsidP="0073065F">
      <w:pPr>
        <w:widowControl w:val="0"/>
        <w:jc w:val="both"/>
        <w:rPr>
          <w:rFonts w:ascii="Times New Roman" w:hAnsi="Times New Roman"/>
        </w:rPr>
      </w:pPr>
    </w:p>
    <w:p w:rsidR="0073065F" w:rsidRPr="004B4D7E" w:rsidRDefault="0073065F" w:rsidP="0073065F">
      <w:pPr>
        <w:widowControl w:val="0"/>
        <w:jc w:val="both"/>
        <w:rPr>
          <w:rFonts w:ascii="Times New Roman" w:hAnsi="Times New Roman"/>
          <w:b/>
          <w:i/>
        </w:rPr>
      </w:pPr>
      <w:r w:rsidRPr="004B4D7E">
        <w:rPr>
          <w:rFonts w:ascii="Times New Roman" w:hAnsi="Times New Roman"/>
          <w:b/>
          <w:i/>
        </w:rPr>
        <w:t>- powinno być:</w:t>
      </w:r>
    </w:p>
    <w:p w:rsidR="0073065F" w:rsidRPr="00866AB2" w:rsidRDefault="0073065F" w:rsidP="0073065F">
      <w:pPr>
        <w:widowControl w:val="0"/>
        <w:jc w:val="both"/>
        <w:rPr>
          <w:rFonts w:ascii="Times New Roman" w:hAnsi="Times New Roman"/>
        </w:rPr>
      </w:pPr>
      <w:r>
        <w:rPr>
          <w:rFonts w:ascii="Times New Roman" w:hAnsi="Times New Roman"/>
        </w:rPr>
        <w:t>„</w:t>
      </w:r>
      <w:r w:rsidRPr="00591151">
        <w:rPr>
          <w:rFonts w:ascii="Times New Roman" w:hAnsi="Times New Roman"/>
        </w:rPr>
        <w:t xml:space="preserve">W związku z powyższym w systemie AES jest możliwość dokonania zgłoszenia o objęcie procedurą wywozu paczek zawierających towary niepodlegające należnościom celnym wywozowym, których łączna wartość w jednej </w:t>
      </w:r>
      <w:r>
        <w:rPr>
          <w:rFonts w:ascii="Times New Roman" w:hAnsi="Times New Roman"/>
        </w:rPr>
        <w:t xml:space="preserve"> paczce </w:t>
      </w:r>
      <w:r w:rsidRPr="00591151">
        <w:rPr>
          <w:rFonts w:ascii="Times New Roman" w:hAnsi="Times New Roman"/>
        </w:rPr>
        <w:t>nie przekracza równowartości 1000 euro (jedna paczka o wartości do 1000 euro lub wiele paczek o wartości do 1000 euro</w:t>
      </w:r>
      <w:r w:rsidRPr="00181AD7">
        <w:rPr>
          <w:rFonts w:ascii="Times New Roman" w:hAnsi="Times New Roman"/>
        </w:rPr>
        <w:t xml:space="preserve"> </w:t>
      </w:r>
      <w:r w:rsidRPr="00591151">
        <w:rPr>
          <w:rFonts w:ascii="Times New Roman" w:hAnsi="Times New Roman"/>
        </w:rPr>
        <w:t>składających się na przesyłkę). Zgłoszenie takie może mieć tylko i wyłącznie postać zgłoszenia jednopo</w:t>
      </w:r>
      <w:r>
        <w:rPr>
          <w:rFonts w:ascii="Times New Roman" w:hAnsi="Times New Roman"/>
        </w:rPr>
        <w:t>zycyjnego,</w:t>
      </w:r>
      <w:r w:rsidRPr="00591151">
        <w:rPr>
          <w:rFonts w:ascii="Times New Roman" w:hAnsi="Times New Roman"/>
        </w:rPr>
        <w:t xml:space="preserve"> </w:t>
      </w:r>
      <w:r w:rsidRPr="00866AB2">
        <w:rPr>
          <w:rFonts w:ascii="Times New Roman" w:hAnsi="Times New Roman"/>
        </w:rPr>
        <w:t>w którym zgłaszane są składające się na przesyłkę paczki o wartości poniżej 1000 euro każda.</w:t>
      </w:r>
      <w:r>
        <w:rPr>
          <w:rFonts w:ascii="Times New Roman" w:hAnsi="Times New Roman"/>
        </w:rPr>
        <w:t>”.</w:t>
      </w:r>
    </w:p>
    <w:p w:rsidR="0073065F" w:rsidRPr="00591151" w:rsidRDefault="0073065F" w:rsidP="0073065F">
      <w:pPr>
        <w:widowControl w:val="0"/>
        <w:jc w:val="both"/>
        <w:rPr>
          <w:rFonts w:ascii="Times New Roman" w:hAnsi="Times New Roman"/>
        </w:rPr>
      </w:pPr>
    </w:p>
    <w:p w:rsidR="0073065F" w:rsidRPr="00FA1758" w:rsidRDefault="0073065F" w:rsidP="0073065F">
      <w:pPr>
        <w:widowControl w:val="0"/>
        <w:tabs>
          <w:tab w:val="left" w:pos="709"/>
          <w:tab w:val="left" w:pos="1134"/>
          <w:tab w:val="left" w:pos="1701"/>
          <w:tab w:val="left" w:pos="2268"/>
        </w:tabs>
        <w:spacing w:after="120" w:line="264" w:lineRule="auto"/>
        <w:jc w:val="both"/>
        <w:rPr>
          <w:rFonts w:ascii="Times New Roman" w:hAnsi="Times New Roman"/>
        </w:rPr>
      </w:pPr>
      <w:r w:rsidRPr="00FA1758">
        <w:rPr>
          <w:rFonts w:ascii="Times New Roman" w:eastAsia="Times New Roman" w:hAnsi="Times New Roman"/>
          <w:lang w:eastAsia="pl-PL"/>
        </w:rPr>
        <w:lastRenderedPageBreak/>
        <w:t xml:space="preserve">Opisane wyżej zmiany </w:t>
      </w:r>
      <w:r w:rsidRPr="00FA1758">
        <w:rPr>
          <w:rFonts w:ascii="Times New Roman" w:eastAsia="Times New Roman" w:hAnsi="Times New Roman"/>
          <w:i/>
          <w:lang w:eastAsia="pl-PL"/>
        </w:rPr>
        <w:t>Instrukcji</w:t>
      </w:r>
      <w:r w:rsidRPr="00FA1758">
        <w:rPr>
          <w:rFonts w:ascii="Times New Roman" w:eastAsia="Times New Roman" w:hAnsi="Times New Roman"/>
          <w:lang w:eastAsia="pl-PL"/>
        </w:rPr>
        <w:t xml:space="preserve"> </w:t>
      </w:r>
      <w:r w:rsidRPr="00FA1758">
        <w:rPr>
          <w:rFonts w:ascii="Times New Roman" w:eastAsia="Times New Roman" w:hAnsi="Times New Roman"/>
          <w:b/>
          <w:lang w:eastAsia="pl-PL"/>
        </w:rPr>
        <w:t xml:space="preserve">wchodzą w życie </w:t>
      </w:r>
      <w:r w:rsidRPr="00F6309A">
        <w:rPr>
          <w:rFonts w:ascii="Times New Roman" w:eastAsia="Times New Roman" w:hAnsi="Times New Roman"/>
          <w:b/>
          <w:lang w:eastAsia="pl-PL"/>
        </w:rPr>
        <w:t>z dniem 4 czerwca 2018 r.</w:t>
      </w:r>
      <w:r w:rsidRPr="00FA1758">
        <w:rPr>
          <w:rFonts w:ascii="Times New Roman" w:eastAsia="Times New Roman" w:hAnsi="Times New Roman"/>
          <w:b/>
          <w:lang w:eastAsia="pl-PL"/>
        </w:rPr>
        <w:t xml:space="preserve"> </w:t>
      </w:r>
    </w:p>
    <w:p w:rsidR="00C07311" w:rsidRDefault="00C07311" w:rsidP="00DD0D2C">
      <w:pPr>
        <w:spacing w:line="264" w:lineRule="auto"/>
        <w:jc w:val="both"/>
        <w:outlineLvl w:val="0"/>
        <w:rPr>
          <w:rFonts w:ascii="Times New Roman" w:hAnsi="Times New Roman"/>
          <w:b/>
          <w:i/>
        </w:rPr>
      </w:pPr>
    </w:p>
    <w:p w:rsidR="00DD0D2C" w:rsidRPr="00001058" w:rsidRDefault="00DD0D2C" w:rsidP="00DD0D2C">
      <w:pPr>
        <w:spacing w:line="264" w:lineRule="auto"/>
        <w:jc w:val="both"/>
        <w:outlineLvl w:val="0"/>
        <w:rPr>
          <w:rFonts w:ascii="Times New Roman" w:hAnsi="Times New Roman"/>
          <w:b/>
          <w:i/>
        </w:rPr>
      </w:pPr>
      <w:r w:rsidRPr="00001058">
        <w:rPr>
          <w:rFonts w:ascii="Times New Roman" w:hAnsi="Times New Roman"/>
          <w:b/>
          <w:i/>
        </w:rPr>
        <w:t>Sporządzono w Departamencie Ceł MF</w:t>
      </w:r>
    </w:p>
    <w:p w:rsidR="00DD0D2C" w:rsidRPr="00001058" w:rsidRDefault="00DD0D2C" w:rsidP="00DD0D2C">
      <w:pPr>
        <w:spacing w:line="264" w:lineRule="auto"/>
        <w:jc w:val="both"/>
        <w:outlineLvl w:val="0"/>
        <w:rPr>
          <w:rFonts w:ascii="Times New Roman" w:hAnsi="Times New Roman"/>
          <w:b/>
          <w:i/>
        </w:rPr>
      </w:pPr>
      <w:r w:rsidRPr="00001058">
        <w:rPr>
          <w:rFonts w:ascii="Times New Roman" w:hAnsi="Times New Roman"/>
          <w:b/>
          <w:i/>
        </w:rPr>
        <w:t xml:space="preserve">w dniu </w:t>
      </w:r>
      <w:r>
        <w:rPr>
          <w:rFonts w:ascii="Times New Roman" w:hAnsi="Times New Roman"/>
          <w:b/>
          <w:i/>
        </w:rPr>
        <w:t>21</w:t>
      </w:r>
      <w:r w:rsidRPr="00001058">
        <w:rPr>
          <w:rFonts w:ascii="Times New Roman" w:hAnsi="Times New Roman"/>
          <w:b/>
          <w:i/>
        </w:rPr>
        <w:t>.</w:t>
      </w:r>
      <w:r>
        <w:rPr>
          <w:rFonts w:ascii="Times New Roman" w:hAnsi="Times New Roman"/>
          <w:b/>
          <w:i/>
        </w:rPr>
        <w:t>05</w:t>
      </w:r>
      <w:r w:rsidRPr="00001058">
        <w:rPr>
          <w:rFonts w:ascii="Times New Roman" w:hAnsi="Times New Roman"/>
          <w:b/>
          <w:i/>
        </w:rPr>
        <w:t>.201</w:t>
      </w:r>
      <w:r>
        <w:rPr>
          <w:rFonts w:ascii="Times New Roman" w:hAnsi="Times New Roman"/>
          <w:b/>
          <w:i/>
        </w:rPr>
        <w:t>8</w:t>
      </w:r>
      <w:r w:rsidRPr="00001058">
        <w:rPr>
          <w:rFonts w:ascii="Times New Roman" w:hAnsi="Times New Roman"/>
          <w:b/>
          <w:i/>
        </w:rPr>
        <w:t xml:space="preserve"> r.</w:t>
      </w:r>
    </w:p>
    <w:p w:rsidR="007B671B" w:rsidRDefault="00826D07"/>
    <w:sectPr w:rsidR="007B671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70" w:rsidRDefault="009A6170" w:rsidP="0073065F">
      <w:r>
        <w:separator/>
      </w:r>
    </w:p>
  </w:endnote>
  <w:endnote w:type="continuationSeparator" w:id="0">
    <w:p w:rsidR="009A6170" w:rsidRDefault="009A6170" w:rsidP="007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042965"/>
      <w:docPartObj>
        <w:docPartGallery w:val="Page Numbers (Bottom of Page)"/>
        <w:docPartUnique/>
      </w:docPartObj>
    </w:sdtPr>
    <w:sdtEndPr/>
    <w:sdtContent>
      <w:p w:rsidR="0073065F" w:rsidRDefault="0073065F">
        <w:pPr>
          <w:pStyle w:val="Stopka"/>
          <w:jc w:val="right"/>
        </w:pPr>
        <w:r>
          <w:fldChar w:fldCharType="begin"/>
        </w:r>
        <w:r>
          <w:instrText>PAGE   \* MERGEFORMAT</w:instrText>
        </w:r>
        <w:r>
          <w:fldChar w:fldCharType="separate"/>
        </w:r>
        <w:r w:rsidR="00826D07">
          <w:rPr>
            <w:noProof/>
          </w:rPr>
          <w:t>1</w:t>
        </w:r>
        <w:r>
          <w:fldChar w:fldCharType="end"/>
        </w:r>
      </w:p>
    </w:sdtContent>
  </w:sdt>
  <w:p w:rsidR="0073065F" w:rsidRDefault="007306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70" w:rsidRDefault="009A6170" w:rsidP="0073065F">
      <w:r>
        <w:separator/>
      </w:r>
    </w:p>
  </w:footnote>
  <w:footnote w:type="continuationSeparator" w:id="0">
    <w:p w:rsidR="009A6170" w:rsidRDefault="009A6170" w:rsidP="00730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61C2"/>
    <w:multiLevelType w:val="hybridMultilevel"/>
    <w:tmpl w:val="25E8BD0A"/>
    <w:lvl w:ilvl="0" w:tplc="04150017">
      <w:start w:val="1"/>
      <w:numFmt w:val="lowerLetter"/>
      <w:lvlText w:val="%1)"/>
      <w:lvlJc w:val="left"/>
      <w:pPr>
        <w:tabs>
          <w:tab w:val="num" w:pos="1494"/>
        </w:tabs>
        <w:ind w:left="1494" w:hanging="360"/>
      </w:pPr>
      <w:rPr>
        <w:rFonts w:hint="default"/>
      </w:rPr>
    </w:lvl>
    <w:lvl w:ilvl="1" w:tplc="04150003" w:tentative="1">
      <w:start w:val="1"/>
      <w:numFmt w:val="bullet"/>
      <w:lvlText w:val="o"/>
      <w:lvlJc w:val="left"/>
      <w:pPr>
        <w:tabs>
          <w:tab w:val="num" w:pos="2214"/>
        </w:tabs>
        <w:ind w:left="2214" w:hanging="360"/>
      </w:pPr>
      <w:rPr>
        <w:rFonts w:ascii="Courier New" w:hAnsi="Courier New" w:cs="Courier New"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cs="Courier New"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cs="Courier New"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0B446D00"/>
    <w:multiLevelType w:val="hybridMultilevel"/>
    <w:tmpl w:val="CFE89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27361"/>
    <w:multiLevelType w:val="hybridMultilevel"/>
    <w:tmpl w:val="5470DB4E"/>
    <w:lvl w:ilvl="0" w:tplc="CE960F56">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E735E"/>
    <w:multiLevelType w:val="hybridMultilevel"/>
    <w:tmpl w:val="496641AC"/>
    <w:lvl w:ilvl="0" w:tplc="E4D43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01D39"/>
    <w:multiLevelType w:val="hybridMultilevel"/>
    <w:tmpl w:val="7A74241C"/>
    <w:lvl w:ilvl="0" w:tplc="FB6AC81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82A3ABE"/>
    <w:multiLevelType w:val="hybridMultilevel"/>
    <w:tmpl w:val="8720810A"/>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BF5C79"/>
    <w:multiLevelType w:val="hybridMultilevel"/>
    <w:tmpl w:val="B854F462"/>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FA2580"/>
    <w:multiLevelType w:val="hybridMultilevel"/>
    <w:tmpl w:val="FA042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596F21"/>
    <w:multiLevelType w:val="hybridMultilevel"/>
    <w:tmpl w:val="067AF592"/>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263D44"/>
    <w:multiLevelType w:val="hybridMultilevel"/>
    <w:tmpl w:val="A9B06862"/>
    <w:lvl w:ilvl="0" w:tplc="333E25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93EB0"/>
    <w:multiLevelType w:val="hybridMultilevel"/>
    <w:tmpl w:val="6A48DCAC"/>
    <w:lvl w:ilvl="0" w:tplc="FB6AC81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ACA54ED"/>
    <w:multiLevelType w:val="hybridMultilevel"/>
    <w:tmpl w:val="88EEA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3F0F4E"/>
    <w:multiLevelType w:val="hybridMultilevel"/>
    <w:tmpl w:val="A4C498F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3E5878EC"/>
    <w:multiLevelType w:val="hybridMultilevel"/>
    <w:tmpl w:val="87B83F2C"/>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2253B76"/>
    <w:multiLevelType w:val="hybridMultilevel"/>
    <w:tmpl w:val="9D927516"/>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986AE3"/>
    <w:multiLevelType w:val="hybridMultilevel"/>
    <w:tmpl w:val="8A2AF6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10498"/>
    <w:multiLevelType w:val="singleLevel"/>
    <w:tmpl w:val="DEBEA818"/>
    <w:lvl w:ilvl="0">
      <w:start w:val="6"/>
      <w:numFmt w:val="bullet"/>
      <w:lvlText w:val="-"/>
      <w:lvlJc w:val="left"/>
      <w:pPr>
        <w:tabs>
          <w:tab w:val="num" w:pos="861"/>
        </w:tabs>
        <w:ind w:left="861" w:hanging="435"/>
      </w:pPr>
      <w:rPr>
        <w:rFonts w:hint="default"/>
      </w:rPr>
    </w:lvl>
  </w:abstractNum>
  <w:abstractNum w:abstractNumId="17" w15:restartNumberingAfterBreak="0">
    <w:nsid w:val="48A8201E"/>
    <w:multiLevelType w:val="hybridMultilevel"/>
    <w:tmpl w:val="D1B81112"/>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8C9793D"/>
    <w:multiLevelType w:val="hybridMultilevel"/>
    <w:tmpl w:val="DFBA7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563D0C"/>
    <w:multiLevelType w:val="hybridMultilevel"/>
    <w:tmpl w:val="712E4B70"/>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BAE1CB6"/>
    <w:multiLevelType w:val="hybridMultilevel"/>
    <w:tmpl w:val="69CAD324"/>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94DB2"/>
    <w:multiLevelType w:val="hybridMultilevel"/>
    <w:tmpl w:val="DDDE2F18"/>
    <w:lvl w:ilvl="0" w:tplc="BA06FB74">
      <w:start w:val="1"/>
      <w:numFmt w:val="decimal"/>
      <w:lvlText w:val="%1)"/>
      <w:lvlJc w:val="left"/>
      <w:pPr>
        <w:tabs>
          <w:tab w:val="num" w:pos="540"/>
        </w:tabs>
        <w:ind w:left="90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2" w15:restartNumberingAfterBreak="0">
    <w:nsid w:val="56606CE1"/>
    <w:multiLevelType w:val="hybridMultilevel"/>
    <w:tmpl w:val="72B031E6"/>
    <w:lvl w:ilvl="0" w:tplc="B25CFE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C229D"/>
    <w:multiLevelType w:val="hybridMultilevel"/>
    <w:tmpl w:val="3236B97A"/>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DBD583D"/>
    <w:multiLevelType w:val="singleLevel"/>
    <w:tmpl w:val="B9880C36"/>
    <w:lvl w:ilvl="0">
      <w:numFmt w:val="bullet"/>
      <w:lvlText w:val="-"/>
      <w:lvlJc w:val="left"/>
      <w:pPr>
        <w:tabs>
          <w:tab w:val="num" w:pos="1137"/>
        </w:tabs>
        <w:ind w:left="1137" w:hanging="570"/>
      </w:pPr>
      <w:rPr>
        <w:rFonts w:hint="default"/>
      </w:rPr>
    </w:lvl>
  </w:abstractNum>
  <w:abstractNum w:abstractNumId="25" w15:restartNumberingAfterBreak="0">
    <w:nsid w:val="61780C28"/>
    <w:multiLevelType w:val="hybridMultilevel"/>
    <w:tmpl w:val="C512B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C729D"/>
    <w:multiLevelType w:val="hybridMultilevel"/>
    <w:tmpl w:val="71E495CA"/>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EF92367"/>
    <w:multiLevelType w:val="hybridMultilevel"/>
    <w:tmpl w:val="9A567684"/>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976EC"/>
    <w:multiLevelType w:val="hybridMultilevel"/>
    <w:tmpl w:val="5A9A2E5C"/>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7C75FE5"/>
    <w:multiLevelType w:val="singleLevel"/>
    <w:tmpl w:val="0415000F"/>
    <w:lvl w:ilvl="0">
      <w:start w:val="1"/>
      <w:numFmt w:val="decimal"/>
      <w:lvlText w:val="%1."/>
      <w:lvlJc w:val="left"/>
      <w:pPr>
        <w:ind w:left="360" w:hanging="360"/>
      </w:pPr>
    </w:lvl>
  </w:abstractNum>
  <w:num w:numId="1">
    <w:abstractNumId w:val="24"/>
  </w:num>
  <w:num w:numId="2">
    <w:abstractNumId w:val="10"/>
  </w:num>
  <w:num w:numId="3">
    <w:abstractNumId w:val="28"/>
  </w:num>
  <w:num w:numId="4">
    <w:abstractNumId w:val="16"/>
  </w:num>
  <w:num w:numId="5">
    <w:abstractNumId w:val="20"/>
  </w:num>
  <w:num w:numId="6">
    <w:abstractNumId w:val="18"/>
  </w:num>
  <w:num w:numId="7">
    <w:abstractNumId w:val="14"/>
  </w:num>
  <w:num w:numId="8">
    <w:abstractNumId w:val="12"/>
  </w:num>
  <w:num w:numId="9">
    <w:abstractNumId w:val="21"/>
  </w:num>
  <w:num w:numId="10">
    <w:abstractNumId w:val="29"/>
    <w:lvlOverride w:ilvl="0">
      <w:startOverride w:val="1"/>
    </w:lvlOverride>
  </w:num>
  <w:num w:numId="11">
    <w:abstractNumId w:val="27"/>
  </w:num>
  <w:num w:numId="12">
    <w:abstractNumId w:val="2"/>
  </w:num>
  <w:num w:numId="13">
    <w:abstractNumId w:val="25"/>
  </w:num>
  <w:num w:numId="14">
    <w:abstractNumId w:val="22"/>
  </w:num>
  <w:num w:numId="15">
    <w:abstractNumId w:val="9"/>
  </w:num>
  <w:num w:numId="16">
    <w:abstractNumId w:val="3"/>
  </w:num>
  <w:num w:numId="17">
    <w:abstractNumId w:val="15"/>
  </w:num>
  <w:num w:numId="18">
    <w:abstractNumId w:val="5"/>
  </w:num>
  <w:num w:numId="19">
    <w:abstractNumId w:val="6"/>
  </w:num>
  <w:num w:numId="20">
    <w:abstractNumId w:val="26"/>
  </w:num>
  <w:num w:numId="21">
    <w:abstractNumId w:val="19"/>
  </w:num>
  <w:num w:numId="22">
    <w:abstractNumId w:val="23"/>
  </w:num>
  <w:num w:numId="23">
    <w:abstractNumId w:val="17"/>
  </w:num>
  <w:num w:numId="24">
    <w:abstractNumId w:val="7"/>
  </w:num>
  <w:num w:numId="25">
    <w:abstractNumId w:val="4"/>
  </w:num>
  <w:num w:numId="26">
    <w:abstractNumId w:val="13"/>
  </w:num>
  <w:num w:numId="27">
    <w:abstractNumId w:val="8"/>
  </w:num>
  <w:num w:numId="28">
    <w:abstractNumId w:val="0"/>
  </w:num>
  <w:num w:numId="29">
    <w:abstractNumId w:val="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5F"/>
    <w:rsid w:val="00055E83"/>
    <w:rsid w:val="000D42CC"/>
    <w:rsid w:val="002C1116"/>
    <w:rsid w:val="005D7008"/>
    <w:rsid w:val="0073065F"/>
    <w:rsid w:val="00826D07"/>
    <w:rsid w:val="00974936"/>
    <w:rsid w:val="009A6170"/>
    <w:rsid w:val="00C07311"/>
    <w:rsid w:val="00DB238E"/>
    <w:rsid w:val="00DD0D2C"/>
    <w:rsid w:val="00DF324A"/>
    <w:rsid w:val="00E40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E6B53-D088-4CE7-97D3-ADDBC873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065F"/>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65F"/>
    <w:pPr>
      <w:tabs>
        <w:tab w:val="center" w:pos="4320"/>
        <w:tab w:val="right" w:pos="8640"/>
      </w:tabs>
    </w:pPr>
  </w:style>
  <w:style w:type="character" w:customStyle="1" w:styleId="NagwekZnak">
    <w:name w:val="Nagłówek Znak"/>
    <w:basedOn w:val="Domylnaczcionkaakapitu"/>
    <w:link w:val="Nagwek"/>
    <w:uiPriority w:val="99"/>
    <w:rsid w:val="0073065F"/>
    <w:rPr>
      <w:rFonts w:ascii="Cambria" w:eastAsia="Cambria" w:hAnsi="Cambria" w:cs="Times New Roman"/>
      <w:sz w:val="24"/>
      <w:szCs w:val="24"/>
    </w:rPr>
  </w:style>
  <w:style w:type="paragraph" w:styleId="Stopka">
    <w:name w:val="footer"/>
    <w:basedOn w:val="Normalny"/>
    <w:link w:val="StopkaZnak"/>
    <w:uiPriority w:val="99"/>
    <w:unhideWhenUsed/>
    <w:rsid w:val="0073065F"/>
    <w:pPr>
      <w:tabs>
        <w:tab w:val="center" w:pos="4320"/>
        <w:tab w:val="right" w:pos="8640"/>
      </w:tabs>
    </w:pPr>
  </w:style>
  <w:style w:type="character" w:customStyle="1" w:styleId="StopkaZnak">
    <w:name w:val="Stopka Znak"/>
    <w:basedOn w:val="Domylnaczcionkaakapitu"/>
    <w:link w:val="Stopka"/>
    <w:uiPriority w:val="99"/>
    <w:rsid w:val="0073065F"/>
    <w:rPr>
      <w:rFonts w:ascii="Cambria" w:eastAsia="Cambria" w:hAnsi="Cambria" w:cs="Times New Roman"/>
      <w:sz w:val="24"/>
      <w:szCs w:val="24"/>
    </w:rPr>
  </w:style>
  <w:style w:type="paragraph" w:styleId="Tekstdymka">
    <w:name w:val="Balloon Text"/>
    <w:basedOn w:val="Normalny"/>
    <w:link w:val="TekstdymkaZnak"/>
    <w:uiPriority w:val="99"/>
    <w:semiHidden/>
    <w:unhideWhenUsed/>
    <w:rsid w:val="0073065F"/>
    <w:rPr>
      <w:rFonts w:ascii="Tahoma" w:hAnsi="Tahoma" w:cs="Tahoma"/>
      <w:sz w:val="16"/>
      <w:szCs w:val="16"/>
    </w:rPr>
  </w:style>
  <w:style w:type="character" w:customStyle="1" w:styleId="TekstdymkaZnak">
    <w:name w:val="Tekst dymka Znak"/>
    <w:basedOn w:val="Domylnaczcionkaakapitu"/>
    <w:link w:val="Tekstdymka"/>
    <w:uiPriority w:val="99"/>
    <w:semiHidden/>
    <w:rsid w:val="0073065F"/>
    <w:rPr>
      <w:rFonts w:ascii="Tahoma" w:eastAsia="Cambria" w:hAnsi="Tahoma" w:cs="Tahoma"/>
      <w:sz w:val="16"/>
      <w:szCs w:val="16"/>
    </w:rPr>
  </w:style>
  <w:style w:type="character" w:styleId="Hipercze">
    <w:name w:val="Hyperlink"/>
    <w:basedOn w:val="Domylnaczcionkaakapitu"/>
    <w:uiPriority w:val="99"/>
    <w:unhideWhenUsed/>
    <w:rsid w:val="0073065F"/>
    <w:rPr>
      <w:color w:val="0000FF"/>
      <w:u w:val="single"/>
    </w:rPr>
  </w:style>
  <w:style w:type="paragraph" w:styleId="Akapitzlist">
    <w:name w:val="List Paragraph"/>
    <w:basedOn w:val="Normalny"/>
    <w:uiPriority w:val="34"/>
    <w:qFormat/>
    <w:rsid w:val="0073065F"/>
    <w:pPr>
      <w:ind w:left="720"/>
      <w:contextualSpacing/>
    </w:pPr>
  </w:style>
  <w:style w:type="character" w:styleId="Odwoaniedokomentarza">
    <w:name w:val="annotation reference"/>
    <w:basedOn w:val="Domylnaczcionkaakapitu"/>
    <w:uiPriority w:val="99"/>
    <w:semiHidden/>
    <w:unhideWhenUsed/>
    <w:rsid w:val="0073065F"/>
    <w:rPr>
      <w:sz w:val="16"/>
      <w:szCs w:val="16"/>
    </w:rPr>
  </w:style>
  <w:style w:type="paragraph" w:styleId="Tekstkomentarza">
    <w:name w:val="annotation text"/>
    <w:basedOn w:val="Normalny"/>
    <w:link w:val="TekstkomentarzaZnak"/>
    <w:uiPriority w:val="99"/>
    <w:semiHidden/>
    <w:unhideWhenUsed/>
    <w:rsid w:val="0073065F"/>
    <w:rPr>
      <w:sz w:val="20"/>
      <w:szCs w:val="20"/>
    </w:rPr>
  </w:style>
  <w:style w:type="character" w:customStyle="1" w:styleId="TekstkomentarzaZnak">
    <w:name w:val="Tekst komentarza Znak"/>
    <w:basedOn w:val="Domylnaczcionkaakapitu"/>
    <w:link w:val="Tekstkomentarza"/>
    <w:uiPriority w:val="99"/>
    <w:semiHidden/>
    <w:rsid w:val="0073065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73065F"/>
    <w:rPr>
      <w:b/>
      <w:bCs/>
    </w:rPr>
  </w:style>
  <w:style w:type="character" w:customStyle="1" w:styleId="TematkomentarzaZnak">
    <w:name w:val="Temat komentarza Znak"/>
    <w:basedOn w:val="TekstkomentarzaZnak"/>
    <w:link w:val="Tematkomentarza"/>
    <w:uiPriority w:val="99"/>
    <w:semiHidden/>
    <w:rsid w:val="0073065F"/>
    <w:rPr>
      <w:rFonts w:ascii="Cambria" w:eastAsia="Cambria" w:hAnsi="Cambria" w:cs="Times New Roman"/>
      <w:b/>
      <w:bCs/>
      <w:sz w:val="20"/>
      <w:szCs w:val="20"/>
    </w:rPr>
  </w:style>
  <w:style w:type="paragraph" w:styleId="Tekstprzypisudolnego">
    <w:name w:val="footnote text"/>
    <w:basedOn w:val="Normalny"/>
    <w:link w:val="TekstprzypisudolnegoZnak"/>
    <w:semiHidden/>
    <w:unhideWhenUsed/>
    <w:rsid w:val="0073065F"/>
    <w:pPr>
      <w:overflowPunct w:val="0"/>
      <w:autoSpaceDE w:val="0"/>
      <w:autoSpaceDN w:val="0"/>
      <w:adjustRightInd w:val="0"/>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73065F"/>
    <w:rPr>
      <w:rFonts w:ascii="Times New Roman" w:eastAsia="Times New Roman" w:hAnsi="Times New Roman" w:cs="Times New Roman"/>
      <w:sz w:val="20"/>
      <w:szCs w:val="20"/>
    </w:rPr>
  </w:style>
  <w:style w:type="character" w:styleId="Odwoanieprzypisudolnego">
    <w:name w:val="footnote reference"/>
    <w:semiHidden/>
    <w:unhideWhenUsed/>
    <w:rsid w:val="0073065F"/>
    <w:rPr>
      <w:vertAlign w:val="superscript"/>
    </w:rPr>
  </w:style>
  <w:style w:type="table" w:styleId="Tabela-Siatka">
    <w:name w:val="Table Grid"/>
    <w:basedOn w:val="Standardowy"/>
    <w:uiPriority w:val="59"/>
    <w:rsid w:val="0073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hyperlink" Target="http://www.puesc.gov.pl"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puesc.gov.pl/seap_pdr_extimpl/slowniki/034" TargetMode="Externa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puesc.gov.pl/seap_pdr_extimpl/slowniki/109"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190E8A-B6B0-4A20-BAFD-FE24234791A5}" type="doc">
      <dgm:prSet loTypeId="urn:microsoft.com/office/officeart/2005/8/layout/hChevron3" loCatId="process" qsTypeId="urn:microsoft.com/office/officeart/2005/8/quickstyle/simple1" qsCatId="simple" csTypeId="urn:microsoft.com/office/officeart/2005/8/colors/accent1_2" csCatId="accent1" phldr="1"/>
      <dgm:spPr/>
    </dgm:pt>
    <dgm:pt modelId="{D956D950-EA6A-4AAF-81D0-53349A2E3117}">
      <dgm:prSet phldrT="[Teksti]" custT="1"/>
      <dgm:spPr>
        <a:xfrm>
          <a:off x="2041" y="306763"/>
          <a:ext cx="2123902" cy="7199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300">
              <a:solidFill>
                <a:sysClr val="window" lastClr="FFFFFF"/>
              </a:solidFill>
              <a:latin typeface="Calibri"/>
              <a:ea typeface="+mn-ea"/>
              <a:cs typeface="+mn-cs"/>
            </a:rPr>
            <a:t>Miejsce wysyłki</a:t>
          </a:r>
        </a:p>
      </dgm:t>
    </dgm:pt>
    <dgm:pt modelId="{0F4F6C13-2B56-4A41-BD85-AF7F77877EC8}" type="parTrans" cxnId="{483B6C17-5F38-487A-9E5D-B58392208D2C}">
      <dgm:prSet/>
      <dgm:spPr/>
      <dgm:t>
        <a:bodyPr/>
        <a:lstStyle/>
        <a:p>
          <a:endParaRPr lang="fi-FI"/>
        </a:p>
      </dgm:t>
    </dgm:pt>
    <dgm:pt modelId="{CEAE49ED-D2EB-40C4-A762-D074814F8FDF}" type="sibTrans" cxnId="{483B6C17-5F38-487A-9E5D-B58392208D2C}">
      <dgm:prSet/>
      <dgm:spPr/>
      <dgm:t>
        <a:bodyPr/>
        <a:lstStyle/>
        <a:p>
          <a:endParaRPr lang="fi-FI"/>
        </a:p>
      </dgm:t>
    </dgm:pt>
    <dgm:pt modelId="{B4703847-F106-4CAC-8EC8-5549C21B99EE}">
      <dgm:prSet phldrT="[Teksti]" custT="1"/>
      <dgm:spPr>
        <a:xfrm>
          <a:off x="1625100" y="306763"/>
          <a:ext cx="2504217" cy="7199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300">
              <a:solidFill>
                <a:sysClr val="window" lastClr="FFFFFF"/>
              </a:solidFill>
              <a:latin typeface="Calibri"/>
              <a:ea typeface="+mn-ea"/>
              <a:cs typeface="+mn-cs"/>
            </a:rPr>
            <a:t>Granica państwa członkowskiego wywozu</a:t>
          </a:r>
        </a:p>
      </dgm:t>
    </dgm:pt>
    <dgm:pt modelId="{30D0D01A-BC59-4A77-B11D-90715C5588DB}" type="parTrans" cxnId="{A2917EE6-DFF2-4531-975A-40EE3E1ABD55}">
      <dgm:prSet/>
      <dgm:spPr/>
      <dgm:t>
        <a:bodyPr/>
        <a:lstStyle/>
        <a:p>
          <a:endParaRPr lang="fi-FI"/>
        </a:p>
      </dgm:t>
    </dgm:pt>
    <dgm:pt modelId="{206FB9C5-B492-4918-9E89-F95B4D9C2452}" type="sibTrans" cxnId="{A2917EE6-DFF2-4531-975A-40EE3E1ABD55}">
      <dgm:prSet/>
      <dgm:spPr/>
      <dgm:t>
        <a:bodyPr/>
        <a:lstStyle/>
        <a:p>
          <a:endParaRPr lang="fi-FI"/>
        </a:p>
      </dgm:t>
    </dgm:pt>
    <dgm:pt modelId="{208CDE73-19C1-4036-8879-8329847AE7D7}">
      <dgm:prSet phldrT="[Teksti]" custT="1"/>
      <dgm:spPr>
        <a:xfrm>
          <a:off x="3628475" y="306763"/>
          <a:ext cx="2504217" cy="7199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300">
              <a:solidFill>
                <a:sysClr val="window" lastClr="FFFFFF"/>
              </a:solidFill>
              <a:latin typeface="Calibri"/>
              <a:ea typeface="+mn-ea"/>
              <a:cs typeface="+mn-cs"/>
            </a:rPr>
            <a:t>Miejsce przeznaczenia</a:t>
          </a:r>
        </a:p>
      </dgm:t>
    </dgm:pt>
    <dgm:pt modelId="{91CEB43A-334A-49FE-961A-ADC1CD869A34}" type="parTrans" cxnId="{4E090A98-91DC-4FC1-9D73-192590E6EE64}">
      <dgm:prSet/>
      <dgm:spPr/>
      <dgm:t>
        <a:bodyPr/>
        <a:lstStyle/>
        <a:p>
          <a:endParaRPr lang="fi-FI"/>
        </a:p>
      </dgm:t>
    </dgm:pt>
    <dgm:pt modelId="{EBBEAAF7-F72D-4546-B3C2-D6724AEB7BB0}" type="sibTrans" cxnId="{4E090A98-91DC-4FC1-9D73-192590E6EE64}">
      <dgm:prSet/>
      <dgm:spPr/>
      <dgm:t>
        <a:bodyPr/>
        <a:lstStyle/>
        <a:p>
          <a:endParaRPr lang="fi-FI"/>
        </a:p>
      </dgm:t>
    </dgm:pt>
    <dgm:pt modelId="{CA836F8A-9E70-496F-B2AE-4E890391DF27}" type="pres">
      <dgm:prSet presAssocID="{DD190E8A-B6B0-4A20-BAFD-FE24234791A5}" presName="Name0" presStyleCnt="0">
        <dgm:presLayoutVars>
          <dgm:dir/>
          <dgm:resizeHandles val="exact"/>
        </dgm:presLayoutVars>
      </dgm:prSet>
      <dgm:spPr/>
    </dgm:pt>
    <dgm:pt modelId="{E393BC9B-5E8E-4796-ABB9-3E83163505F1}" type="pres">
      <dgm:prSet presAssocID="{D956D950-EA6A-4AAF-81D0-53349A2E3117}" presName="parTxOnly" presStyleLbl="node1" presStyleIdx="0" presStyleCnt="3" custScaleX="84813" custScaleY="71876">
        <dgm:presLayoutVars>
          <dgm:bulletEnabled val="1"/>
        </dgm:presLayoutVars>
      </dgm:prSet>
      <dgm:spPr>
        <a:prstGeom prst="homePlate">
          <a:avLst/>
        </a:prstGeom>
      </dgm:spPr>
      <dgm:t>
        <a:bodyPr/>
        <a:lstStyle/>
        <a:p>
          <a:endParaRPr lang="fi-FI"/>
        </a:p>
      </dgm:t>
    </dgm:pt>
    <dgm:pt modelId="{875FA838-FFD6-4DF6-89B6-C0BAF90C0230}" type="pres">
      <dgm:prSet presAssocID="{CEAE49ED-D2EB-40C4-A762-D074814F8FDF}" presName="parSpace" presStyleCnt="0"/>
      <dgm:spPr/>
    </dgm:pt>
    <dgm:pt modelId="{D7690173-87BE-4709-9FCF-84164F4B2E01}" type="pres">
      <dgm:prSet presAssocID="{B4703847-F106-4CAC-8EC8-5549C21B99EE}" presName="parTxOnly" presStyleLbl="node1" presStyleIdx="1" presStyleCnt="3" custScaleY="71876">
        <dgm:presLayoutVars>
          <dgm:bulletEnabled val="1"/>
        </dgm:presLayoutVars>
      </dgm:prSet>
      <dgm:spPr>
        <a:prstGeom prst="chevron">
          <a:avLst/>
        </a:prstGeom>
      </dgm:spPr>
      <dgm:t>
        <a:bodyPr/>
        <a:lstStyle/>
        <a:p>
          <a:endParaRPr lang="fi-FI"/>
        </a:p>
      </dgm:t>
    </dgm:pt>
    <dgm:pt modelId="{C844942A-7EBB-4751-9D97-14FA6761F031}" type="pres">
      <dgm:prSet presAssocID="{206FB9C5-B492-4918-9E89-F95B4D9C2452}" presName="parSpace" presStyleCnt="0"/>
      <dgm:spPr/>
    </dgm:pt>
    <dgm:pt modelId="{C2C95121-CCB4-46CF-99B7-8C6305B2FA0C}" type="pres">
      <dgm:prSet presAssocID="{208CDE73-19C1-4036-8879-8329847AE7D7}" presName="parTxOnly" presStyleLbl="node1" presStyleIdx="2" presStyleCnt="3" custScaleY="71876">
        <dgm:presLayoutVars>
          <dgm:bulletEnabled val="1"/>
        </dgm:presLayoutVars>
      </dgm:prSet>
      <dgm:spPr>
        <a:prstGeom prst="chevron">
          <a:avLst/>
        </a:prstGeom>
      </dgm:spPr>
      <dgm:t>
        <a:bodyPr/>
        <a:lstStyle/>
        <a:p>
          <a:endParaRPr lang="fi-FI"/>
        </a:p>
      </dgm:t>
    </dgm:pt>
  </dgm:ptLst>
  <dgm:cxnLst>
    <dgm:cxn modelId="{5F4D3598-1813-46DA-85CB-D603D09BEAEC}" type="presOf" srcId="{B4703847-F106-4CAC-8EC8-5549C21B99EE}" destId="{D7690173-87BE-4709-9FCF-84164F4B2E01}" srcOrd="0" destOrd="0" presId="urn:microsoft.com/office/officeart/2005/8/layout/hChevron3"/>
    <dgm:cxn modelId="{4E090A98-91DC-4FC1-9D73-192590E6EE64}" srcId="{DD190E8A-B6B0-4A20-BAFD-FE24234791A5}" destId="{208CDE73-19C1-4036-8879-8329847AE7D7}" srcOrd="2" destOrd="0" parTransId="{91CEB43A-334A-49FE-961A-ADC1CD869A34}" sibTransId="{EBBEAAF7-F72D-4546-B3C2-D6724AEB7BB0}"/>
    <dgm:cxn modelId="{498EE29C-5662-4857-B179-33B0FCA2CE29}" type="presOf" srcId="{DD190E8A-B6B0-4A20-BAFD-FE24234791A5}" destId="{CA836F8A-9E70-496F-B2AE-4E890391DF27}" srcOrd="0" destOrd="0" presId="urn:microsoft.com/office/officeart/2005/8/layout/hChevron3"/>
    <dgm:cxn modelId="{10D56E69-CA22-4E4C-B44E-C443357BE803}" type="presOf" srcId="{D956D950-EA6A-4AAF-81D0-53349A2E3117}" destId="{E393BC9B-5E8E-4796-ABB9-3E83163505F1}" srcOrd="0" destOrd="0" presId="urn:microsoft.com/office/officeart/2005/8/layout/hChevron3"/>
    <dgm:cxn modelId="{483B6C17-5F38-487A-9E5D-B58392208D2C}" srcId="{DD190E8A-B6B0-4A20-BAFD-FE24234791A5}" destId="{D956D950-EA6A-4AAF-81D0-53349A2E3117}" srcOrd="0" destOrd="0" parTransId="{0F4F6C13-2B56-4A41-BD85-AF7F77877EC8}" sibTransId="{CEAE49ED-D2EB-40C4-A762-D074814F8FDF}"/>
    <dgm:cxn modelId="{F302D683-CB85-47CF-B650-F366E7BD6147}" type="presOf" srcId="{208CDE73-19C1-4036-8879-8329847AE7D7}" destId="{C2C95121-CCB4-46CF-99B7-8C6305B2FA0C}" srcOrd="0" destOrd="0" presId="urn:microsoft.com/office/officeart/2005/8/layout/hChevron3"/>
    <dgm:cxn modelId="{A2917EE6-DFF2-4531-975A-40EE3E1ABD55}" srcId="{DD190E8A-B6B0-4A20-BAFD-FE24234791A5}" destId="{B4703847-F106-4CAC-8EC8-5549C21B99EE}" srcOrd="1" destOrd="0" parTransId="{30D0D01A-BC59-4A77-B11D-90715C5588DB}" sibTransId="{206FB9C5-B492-4918-9E89-F95B4D9C2452}"/>
    <dgm:cxn modelId="{375C6DF1-9A48-4684-91AB-C54C682FF438}" type="presParOf" srcId="{CA836F8A-9E70-496F-B2AE-4E890391DF27}" destId="{E393BC9B-5E8E-4796-ABB9-3E83163505F1}" srcOrd="0" destOrd="0" presId="urn:microsoft.com/office/officeart/2005/8/layout/hChevron3"/>
    <dgm:cxn modelId="{05B78D79-1136-4294-8B73-8C8A1B8A1C3C}" type="presParOf" srcId="{CA836F8A-9E70-496F-B2AE-4E890391DF27}" destId="{875FA838-FFD6-4DF6-89B6-C0BAF90C0230}" srcOrd="1" destOrd="0" presId="urn:microsoft.com/office/officeart/2005/8/layout/hChevron3"/>
    <dgm:cxn modelId="{6B33D6AA-C156-4AFE-B616-A5353FA8C857}" type="presParOf" srcId="{CA836F8A-9E70-496F-B2AE-4E890391DF27}" destId="{D7690173-87BE-4709-9FCF-84164F4B2E01}" srcOrd="2" destOrd="0" presId="urn:microsoft.com/office/officeart/2005/8/layout/hChevron3"/>
    <dgm:cxn modelId="{4767B2E0-824D-4EE4-8670-D28ED9742C2A}" type="presParOf" srcId="{CA836F8A-9E70-496F-B2AE-4E890391DF27}" destId="{C844942A-7EBB-4751-9D97-14FA6761F031}" srcOrd="3" destOrd="0" presId="urn:microsoft.com/office/officeart/2005/8/layout/hChevron3"/>
    <dgm:cxn modelId="{2F0E4A86-D697-44C0-A22F-5591862BB07B}" type="presParOf" srcId="{CA836F8A-9E70-496F-B2AE-4E890391DF27}" destId="{C2C95121-CCB4-46CF-99B7-8C6305B2FA0C}" srcOrd="4"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190E8A-B6B0-4A20-BAFD-FE24234791A5}" type="doc">
      <dgm:prSet loTypeId="urn:microsoft.com/office/officeart/2005/8/layout/hChevron3" loCatId="process" qsTypeId="urn:microsoft.com/office/officeart/2005/8/quickstyle/simple1" qsCatId="simple" csTypeId="urn:microsoft.com/office/officeart/2005/8/colors/accent1_2" csCatId="accent1" phldr="1"/>
      <dgm:spPr/>
    </dgm:pt>
    <dgm:pt modelId="{D956D950-EA6A-4AAF-81D0-53349A2E3117}">
      <dgm:prSet phldrT="[Teksti]"/>
      <dgm:spPr>
        <a:xfrm>
          <a:off x="1793" y="170432"/>
          <a:ext cx="1798983" cy="7195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a:solidFill>
                <a:sysClr val="window" lastClr="FFFFFF"/>
              </a:solidFill>
              <a:latin typeface="Calibri"/>
              <a:ea typeface="+mn-ea"/>
              <a:cs typeface="+mn-cs"/>
            </a:rPr>
            <a:t>Miejsce wysyłki</a:t>
          </a:r>
        </a:p>
      </dgm:t>
    </dgm:pt>
    <dgm:pt modelId="{0F4F6C13-2B56-4A41-BD85-AF7F77877EC8}" type="parTrans" cxnId="{483B6C17-5F38-487A-9E5D-B58392208D2C}">
      <dgm:prSet/>
      <dgm:spPr/>
      <dgm:t>
        <a:bodyPr/>
        <a:lstStyle/>
        <a:p>
          <a:endParaRPr lang="fi-FI"/>
        </a:p>
      </dgm:t>
    </dgm:pt>
    <dgm:pt modelId="{CEAE49ED-D2EB-40C4-A762-D074814F8FDF}" type="sibTrans" cxnId="{483B6C17-5F38-487A-9E5D-B58392208D2C}">
      <dgm:prSet/>
      <dgm:spPr/>
      <dgm:t>
        <a:bodyPr/>
        <a:lstStyle/>
        <a:p>
          <a:endParaRPr lang="fi-FI"/>
        </a:p>
      </dgm:t>
    </dgm:pt>
    <dgm:pt modelId="{B4703847-F106-4CAC-8EC8-5549C21B99EE}">
      <dgm:prSet phldrT="[Teksti]"/>
      <dgm:spPr>
        <a:xfrm>
          <a:off x="1440979" y="170432"/>
          <a:ext cx="1798983" cy="7195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a:solidFill>
                <a:sysClr val="window" lastClr="FFFFFF"/>
              </a:solidFill>
              <a:latin typeface="Calibri"/>
              <a:ea typeface="+mn-ea"/>
              <a:cs typeface="+mn-cs"/>
            </a:rPr>
            <a:t>Granica państwa członkowskiego wywozu</a:t>
          </a:r>
        </a:p>
      </dgm:t>
    </dgm:pt>
    <dgm:pt modelId="{30D0D01A-BC59-4A77-B11D-90715C5588DB}" type="parTrans" cxnId="{A2917EE6-DFF2-4531-975A-40EE3E1ABD55}">
      <dgm:prSet/>
      <dgm:spPr/>
      <dgm:t>
        <a:bodyPr/>
        <a:lstStyle/>
        <a:p>
          <a:endParaRPr lang="fi-FI"/>
        </a:p>
      </dgm:t>
    </dgm:pt>
    <dgm:pt modelId="{206FB9C5-B492-4918-9E89-F95B4D9C2452}" type="sibTrans" cxnId="{A2917EE6-DFF2-4531-975A-40EE3E1ABD55}">
      <dgm:prSet/>
      <dgm:spPr/>
      <dgm:t>
        <a:bodyPr/>
        <a:lstStyle/>
        <a:p>
          <a:endParaRPr lang="fi-FI"/>
        </a:p>
      </dgm:t>
    </dgm:pt>
    <dgm:pt modelId="{208CDE73-19C1-4036-8879-8329847AE7D7}">
      <dgm:prSet phldrT="[Teksti]"/>
      <dgm:spPr>
        <a:xfrm>
          <a:off x="2880166" y="170432"/>
          <a:ext cx="1798983" cy="7195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a:solidFill>
                <a:sysClr val="window" lastClr="FFFFFF"/>
              </a:solidFill>
              <a:latin typeface="Calibri"/>
              <a:ea typeface="+mn-ea"/>
              <a:cs typeface="+mn-cs"/>
            </a:rPr>
            <a:t>Ustalone miejsce dostawy</a:t>
          </a:r>
        </a:p>
      </dgm:t>
    </dgm:pt>
    <dgm:pt modelId="{91CEB43A-334A-49FE-961A-ADC1CD869A34}" type="parTrans" cxnId="{4E090A98-91DC-4FC1-9D73-192590E6EE64}">
      <dgm:prSet/>
      <dgm:spPr/>
      <dgm:t>
        <a:bodyPr/>
        <a:lstStyle/>
        <a:p>
          <a:endParaRPr lang="fi-FI"/>
        </a:p>
      </dgm:t>
    </dgm:pt>
    <dgm:pt modelId="{EBBEAAF7-F72D-4546-B3C2-D6724AEB7BB0}" type="sibTrans" cxnId="{4E090A98-91DC-4FC1-9D73-192590E6EE64}">
      <dgm:prSet/>
      <dgm:spPr/>
      <dgm:t>
        <a:bodyPr/>
        <a:lstStyle/>
        <a:p>
          <a:endParaRPr lang="fi-FI"/>
        </a:p>
      </dgm:t>
    </dgm:pt>
    <dgm:pt modelId="{CA67D61D-B91F-4905-820A-990400C8F3DB}">
      <dgm:prSet/>
      <dgm:spPr>
        <a:xfrm>
          <a:off x="4319353" y="170432"/>
          <a:ext cx="1798983" cy="7195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a:solidFill>
                <a:sysClr val="window" lastClr="FFFFFF"/>
              </a:solidFill>
              <a:latin typeface="Calibri"/>
              <a:ea typeface="+mn-ea"/>
              <a:cs typeface="+mn-cs"/>
            </a:rPr>
            <a:t>Miejsce przeznaczenia</a:t>
          </a:r>
        </a:p>
      </dgm:t>
    </dgm:pt>
    <dgm:pt modelId="{72A95E43-8E72-4F7F-BAD7-101A3BA6A86B}" type="parTrans" cxnId="{FEB22EE0-CF48-4D31-A9AC-905DC86C9884}">
      <dgm:prSet/>
      <dgm:spPr/>
      <dgm:t>
        <a:bodyPr/>
        <a:lstStyle/>
        <a:p>
          <a:endParaRPr lang="fi-FI"/>
        </a:p>
      </dgm:t>
    </dgm:pt>
    <dgm:pt modelId="{DA501C54-1B6B-4AB4-97BA-F04CC064F6B2}" type="sibTrans" cxnId="{FEB22EE0-CF48-4D31-A9AC-905DC86C9884}">
      <dgm:prSet/>
      <dgm:spPr/>
      <dgm:t>
        <a:bodyPr/>
        <a:lstStyle/>
        <a:p>
          <a:endParaRPr lang="fi-FI"/>
        </a:p>
      </dgm:t>
    </dgm:pt>
    <dgm:pt modelId="{CA836F8A-9E70-496F-B2AE-4E890391DF27}" type="pres">
      <dgm:prSet presAssocID="{DD190E8A-B6B0-4A20-BAFD-FE24234791A5}" presName="Name0" presStyleCnt="0">
        <dgm:presLayoutVars>
          <dgm:dir/>
          <dgm:resizeHandles val="exact"/>
        </dgm:presLayoutVars>
      </dgm:prSet>
      <dgm:spPr/>
    </dgm:pt>
    <dgm:pt modelId="{E393BC9B-5E8E-4796-ABB9-3E83163505F1}" type="pres">
      <dgm:prSet presAssocID="{D956D950-EA6A-4AAF-81D0-53349A2E3117}" presName="parTxOnly" presStyleLbl="node1" presStyleIdx="0" presStyleCnt="4">
        <dgm:presLayoutVars>
          <dgm:bulletEnabled val="1"/>
        </dgm:presLayoutVars>
      </dgm:prSet>
      <dgm:spPr>
        <a:prstGeom prst="homePlate">
          <a:avLst/>
        </a:prstGeom>
      </dgm:spPr>
      <dgm:t>
        <a:bodyPr/>
        <a:lstStyle/>
        <a:p>
          <a:endParaRPr lang="fi-FI"/>
        </a:p>
      </dgm:t>
    </dgm:pt>
    <dgm:pt modelId="{875FA838-FFD6-4DF6-89B6-C0BAF90C0230}" type="pres">
      <dgm:prSet presAssocID="{CEAE49ED-D2EB-40C4-A762-D074814F8FDF}" presName="parSpace" presStyleCnt="0"/>
      <dgm:spPr/>
    </dgm:pt>
    <dgm:pt modelId="{D7690173-87BE-4709-9FCF-84164F4B2E01}" type="pres">
      <dgm:prSet presAssocID="{B4703847-F106-4CAC-8EC8-5549C21B99EE}" presName="parTxOnly" presStyleLbl="node1" presStyleIdx="1" presStyleCnt="4">
        <dgm:presLayoutVars>
          <dgm:bulletEnabled val="1"/>
        </dgm:presLayoutVars>
      </dgm:prSet>
      <dgm:spPr>
        <a:prstGeom prst="chevron">
          <a:avLst/>
        </a:prstGeom>
      </dgm:spPr>
      <dgm:t>
        <a:bodyPr/>
        <a:lstStyle/>
        <a:p>
          <a:endParaRPr lang="fi-FI"/>
        </a:p>
      </dgm:t>
    </dgm:pt>
    <dgm:pt modelId="{C844942A-7EBB-4751-9D97-14FA6761F031}" type="pres">
      <dgm:prSet presAssocID="{206FB9C5-B492-4918-9E89-F95B4D9C2452}" presName="parSpace" presStyleCnt="0"/>
      <dgm:spPr/>
    </dgm:pt>
    <dgm:pt modelId="{C2C95121-CCB4-46CF-99B7-8C6305B2FA0C}" type="pres">
      <dgm:prSet presAssocID="{208CDE73-19C1-4036-8879-8329847AE7D7}" presName="parTxOnly" presStyleLbl="node1" presStyleIdx="2" presStyleCnt="4">
        <dgm:presLayoutVars>
          <dgm:bulletEnabled val="1"/>
        </dgm:presLayoutVars>
      </dgm:prSet>
      <dgm:spPr>
        <a:prstGeom prst="chevron">
          <a:avLst/>
        </a:prstGeom>
      </dgm:spPr>
      <dgm:t>
        <a:bodyPr/>
        <a:lstStyle/>
        <a:p>
          <a:endParaRPr lang="fi-FI"/>
        </a:p>
      </dgm:t>
    </dgm:pt>
    <dgm:pt modelId="{E859F7C1-569C-4736-ADDF-422C28DFAE82}" type="pres">
      <dgm:prSet presAssocID="{EBBEAAF7-F72D-4546-B3C2-D6724AEB7BB0}" presName="parSpace" presStyleCnt="0"/>
      <dgm:spPr/>
    </dgm:pt>
    <dgm:pt modelId="{42E1FE0F-5925-4487-AA30-633C7A177804}" type="pres">
      <dgm:prSet presAssocID="{CA67D61D-B91F-4905-820A-990400C8F3DB}" presName="parTxOnly" presStyleLbl="node1" presStyleIdx="3" presStyleCnt="4">
        <dgm:presLayoutVars>
          <dgm:bulletEnabled val="1"/>
        </dgm:presLayoutVars>
      </dgm:prSet>
      <dgm:spPr>
        <a:prstGeom prst="chevron">
          <a:avLst/>
        </a:prstGeom>
      </dgm:spPr>
      <dgm:t>
        <a:bodyPr/>
        <a:lstStyle/>
        <a:p>
          <a:endParaRPr lang="ru-RU"/>
        </a:p>
      </dgm:t>
    </dgm:pt>
  </dgm:ptLst>
  <dgm:cxnLst>
    <dgm:cxn modelId="{8FE3C54E-22EB-473E-86C2-9751617D1569}" type="presOf" srcId="{DD190E8A-B6B0-4A20-BAFD-FE24234791A5}" destId="{CA836F8A-9E70-496F-B2AE-4E890391DF27}" srcOrd="0" destOrd="0" presId="urn:microsoft.com/office/officeart/2005/8/layout/hChevron3"/>
    <dgm:cxn modelId="{B62910AC-E93A-4522-947A-ACE44B959ECA}" type="presOf" srcId="{208CDE73-19C1-4036-8879-8329847AE7D7}" destId="{C2C95121-CCB4-46CF-99B7-8C6305B2FA0C}" srcOrd="0" destOrd="0" presId="urn:microsoft.com/office/officeart/2005/8/layout/hChevron3"/>
    <dgm:cxn modelId="{4E090A98-91DC-4FC1-9D73-192590E6EE64}" srcId="{DD190E8A-B6B0-4A20-BAFD-FE24234791A5}" destId="{208CDE73-19C1-4036-8879-8329847AE7D7}" srcOrd="2" destOrd="0" parTransId="{91CEB43A-334A-49FE-961A-ADC1CD869A34}" sibTransId="{EBBEAAF7-F72D-4546-B3C2-D6724AEB7BB0}"/>
    <dgm:cxn modelId="{3CB83974-7526-45D2-AB46-DD4A799ACDFB}" type="presOf" srcId="{B4703847-F106-4CAC-8EC8-5549C21B99EE}" destId="{D7690173-87BE-4709-9FCF-84164F4B2E01}" srcOrd="0" destOrd="0" presId="urn:microsoft.com/office/officeart/2005/8/layout/hChevron3"/>
    <dgm:cxn modelId="{1547279A-7DA3-4493-B247-3EDC08BD531B}" type="presOf" srcId="{CA67D61D-B91F-4905-820A-990400C8F3DB}" destId="{42E1FE0F-5925-4487-AA30-633C7A177804}" srcOrd="0" destOrd="0" presId="urn:microsoft.com/office/officeart/2005/8/layout/hChevron3"/>
    <dgm:cxn modelId="{FEB22EE0-CF48-4D31-A9AC-905DC86C9884}" srcId="{DD190E8A-B6B0-4A20-BAFD-FE24234791A5}" destId="{CA67D61D-B91F-4905-820A-990400C8F3DB}" srcOrd="3" destOrd="0" parTransId="{72A95E43-8E72-4F7F-BAD7-101A3BA6A86B}" sibTransId="{DA501C54-1B6B-4AB4-97BA-F04CC064F6B2}"/>
    <dgm:cxn modelId="{483B6C17-5F38-487A-9E5D-B58392208D2C}" srcId="{DD190E8A-B6B0-4A20-BAFD-FE24234791A5}" destId="{D956D950-EA6A-4AAF-81D0-53349A2E3117}" srcOrd="0" destOrd="0" parTransId="{0F4F6C13-2B56-4A41-BD85-AF7F77877EC8}" sibTransId="{CEAE49ED-D2EB-40C4-A762-D074814F8FDF}"/>
    <dgm:cxn modelId="{4D2B955E-D62A-4EBD-9F79-CA45D428FB36}" type="presOf" srcId="{D956D950-EA6A-4AAF-81D0-53349A2E3117}" destId="{E393BC9B-5E8E-4796-ABB9-3E83163505F1}" srcOrd="0" destOrd="0" presId="urn:microsoft.com/office/officeart/2005/8/layout/hChevron3"/>
    <dgm:cxn modelId="{A2917EE6-DFF2-4531-975A-40EE3E1ABD55}" srcId="{DD190E8A-B6B0-4A20-BAFD-FE24234791A5}" destId="{B4703847-F106-4CAC-8EC8-5549C21B99EE}" srcOrd="1" destOrd="0" parTransId="{30D0D01A-BC59-4A77-B11D-90715C5588DB}" sibTransId="{206FB9C5-B492-4918-9E89-F95B4D9C2452}"/>
    <dgm:cxn modelId="{84EEE5D5-3EB0-48EC-84AE-EEB90380232E}" type="presParOf" srcId="{CA836F8A-9E70-496F-B2AE-4E890391DF27}" destId="{E393BC9B-5E8E-4796-ABB9-3E83163505F1}" srcOrd="0" destOrd="0" presId="urn:microsoft.com/office/officeart/2005/8/layout/hChevron3"/>
    <dgm:cxn modelId="{A8B4699B-12D4-4802-845C-393A7AB5C9B7}" type="presParOf" srcId="{CA836F8A-9E70-496F-B2AE-4E890391DF27}" destId="{875FA838-FFD6-4DF6-89B6-C0BAF90C0230}" srcOrd="1" destOrd="0" presId="urn:microsoft.com/office/officeart/2005/8/layout/hChevron3"/>
    <dgm:cxn modelId="{2B54A7DB-750E-48DB-9C35-C15AB50F8797}" type="presParOf" srcId="{CA836F8A-9E70-496F-B2AE-4E890391DF27}" destId="{D7690173-87BE-4709-9FCF-84164F4B2E01}" srcOrd="2" destOrd="0" presId="urn:microsoft.com/office/officeart/2005/8/layout/hChevron3"/>
    <dgm:cxn modelId="{6736C03A-1BA0-4857-B31B-2876AC317DF9}" type="presParOf" srcId="{CA836F8A-9E70-496F-B2AE-4E890391DF27}" destId="{C844942A-7EBB-4751-9D97-14FA6761F031}" srcOrd="3" destOrd="0" presId="urn:microsoft.com/office/officeart/2005/8/layout/hChevron3"/>
    <dgm:cxn modelId="{B5ED1E06-9683-41AF-AF4E-76567227B0B1}" type="presParOf" srcId="{CA836F8A-9E70-496F-B2AE-4E890391DF27}" destId="{C2C95121-CCB4-46CF-99B7-8C6305B2FA0C}" srcOrd="4" destOrd="0" presId="urn:microsoft.com/office/officeart/2005/8/layout/hChevron3"/>
    <dgm:cxn modelId="{D325E965-3E06-4393-8CFE-9D3E0D889993}" type="presParOf" srcId="{CA836F8A-9E70-496F-B2AE-4E890391DF27}" destId="{E859F7C1-569C-4736-ADDF-422C28DFAE82}" srcOrd="5" destOrd="0" presId="urn:microsoft.com/office/officeart/2005/8/layout/hChevron3"/>
    <dgm:cxn modelId="{F2373212-FDBB-4CA2-9D94-581CC3B03309}" type="presParOf" srcId="{CA836F8A-9E70-496F-B2AE-4E890391DF27}" destId="{42E1FE0F-5925-4487-AA30-633C7A177804}" srcOrd="6"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190E8A-B6B0-4A20-BAFD-FE24234791A5}" type="doc">
      <dgm:prSet loTypeId="urn:microsoft.com/office/officeart/2005/8/layout/hChevron3" loCatId="process" qsTypeId="urn:microsoft.com/office/officeart/2005/8/quickstyle/simple1" qsCatId="simple" csTypeId="urn:microsoft.com/office/officeart/2005/8/colors/accent1_2" csCatId="accent1" phldr="1"/>
      <dgm:spPr/>
    </dgm:pt>
    <dgm:pt modelId="{D956D950-EA6A-4AAF-81D0-53349A2E3117}">
      <dgm:prSet phldrT="[Teksti]" custT="1"/>
      <dgm:spPr>
        <a:xfrm>
          <a:off x="2689" y="170230"/>
          <a:ext cx="2351827" cy="719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300">
              <a:solidFill>
                <a:sysClr val="window" lastClr="FFFFFF"/>
              </a:solidFill>
              <a:latin typeface="Calibri"/>
              <a:ea typeface="+mn-ea"/>
              <a:cs typeface="+mn-cs"/>
            </a:rPr>
            <a:t>Miejsce wysyłki</a:t>
          </a:r>
        </a:p>
      </dgm:t>
    </dgm:pt>
    <dgm:pt modelId="{0F4F6C13-2B56-4A41-BD85-AF7F77877EC8}" type="parTrans" cxnId="{483B6C17-5F38-487A-9E5D-B58392208D2C}">
      <dgm:prSet/>
      <dgm:spPr/>
      <dgm:t>
        <a:bodyPr/>
        <a:lstStyle/>
        <a:p>
          <a:endParaRPr lang="fi-FI"/>
        </a:p>
      </dgm:t>
    </dgm:pt>
    <dgm:pt modelId="{CEAE49ED-D2EB-40C4-A762-D074814F8FDF}" type="sibTrans" cxnId="{483B6C17-5F38-487A-9E5D-B58392208D2C}">
      <dgm:prSet/>
      <dgm:spPr/>
      <dgm:t>
        <a:bodyPr/>
        <a:lstStyle/>
        <a:p>
          <a:endParaRPr lang="fi-FI"/>
        </a:p>
      </dgm:t>
    </dgm:pt>
    <dgm:pt modelId="{B4703847-F106-4CAC-8EC8-5549C21B99EE}">
      <dgm:prSet phldrT="[Teksti]" custT="1"/>
      <dgm:spPr>
        <a:xfrm>
          <a:off x="1884151" y="170230"/>
          <a:ext cx="2351827" cy="719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300">
              <a:solidFill>
                <a:sysClr val="window" lastClr="FFFFFF"/>
              </a:solidFill>
              <a:latin typeface="Calibri"/>
              <a:ea typeface="+mn-ea"/>
              <a:cs typeface="+mn-cs"/>
            </a:rPr>
            <a:t>Granica państwa członkowskiego wywozu</a:t>
          </a:r>
        </a:p>
      </dgm:t>
    </dgm:pt>
    <dgm:pt modelId="{30D0D01A-BC59-4A77-B11D-90715C5588DB}" type="parTrans" cxnId="{A2917EE6-DFF2-4531-975A-40EE3E1ABD55}">
      <dgm:prSet/>
      <dgm:spPr/>
      <dgm:t>
        <a:bodyPr/>
        <a:lstStyle/>
        <a:p>
          <a:endParaRPr lang="fi-FI"/>
        </a:p>
      </dgm:t>
    </dgm:pt>
    <dgm:pt modelId="{206FB9C5-B492-4918-9E89-F95B4D9C2452}" type="sibTrans" cxnId="{A2917EE6-DFF2-4531-975A-40EE3E1ABD55}">
      <dgm:prSet/>
      <dgm:spPr/>
      <dgm:t>
        <a:bodyPr/>
        <a:lstStyle/>
        <a:p>
          <a:endParaRPr lang="fi-FI"/>
        </a:p>
      </dgm:t>
    </dgm:pt>
    <dgm:pt modelId="{208CDE73-19C1-4036-8879-8329847AE7D7}">
      <dgm:prSet phldrT="[Teksti]" custT="1"/>
      <dgm:spPr>
        <a:xfrm>
          <a:off x="3765613" y="170230"/>
          <a:ext cx="2351827" cy="719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300" baseline="0">
              <a:solidFill>
                <a:sysClr val="window" lastClr="FFFFFF"/>
              </a:solidFill>
              <a:latin typeface="Calibri"/>
              <a:ea typeface="+mn-ea"/>
              <a:cs typeface="+mn-cs"/>
            </a:rPr>
            <a:t>Miejsce przeznaczenia</a:t>
          </a:r>
        </a:p>
      </dgm:t>
    </dgm:pt>
    <dgm:pt modelId="{91CEB43A-334A-49FE-961A-ADC1CD869A34}" type="parTrans" cxnId="{4E090A98-91DC-4FC1-9D73-192590E6EE64}">
      <dgm:prSet/>
      <dgm:spPr/>
      <dgm:t>
        <a:bodyPr/>
        <a:lstStyle/>
        <a:p>
          <a:endParaRPr lang="fi-FI"/>
        </a:p>
      </dgm:t>
    </dgm:pt>
    <dgm:pt modelId="{EBBEAAF7-F72D-4546-B3C2-D6724AEB7BB0}" type="sibTrans" cxnId="{4E090A98-91DC-4FC1-9D73-192590E6EE64}">
      <dgm:prSet/>
      <dgm:spPr/>
      <dgm:t>
        <a:bodyPr/>
        <a:lstStyle/>
        <a:p>
          <a:endParaRPr lang="fi-FI"/>
        </a:p>
      </dgm:t>
    </dgm:pt>
    <dgm:pt modelId="{CA836F8A-9E70-496F-B2AE-4E890391DF27}" type="pres">
      <dgm:prSet presAssocID="{DD190E8A-B6B0-4A20-BAFD-FE24234791A5}" presName="Name0" presStyleCnt="0">
        <dgm:presLayoutVars>
          <dgm:dir/>
          <dgm:resizeHandles val="exact"/>
        </dgm:presLayoutVars>
      </dgm:prSet>
      <dgm:spPr/>
    </dgm:pt>
    <dgm:pt modelId="{E393BC9B-5E8E-4796-ABB9-3E83163505F1}" type="pres">
      <dgm:prSet presAssocID="{D956D950-EA6A-4AAF-81D0-53349A2E3117}" presName="parTxOnly" presStyleLbl="node1" presStyleIdx="0" presStyleCnt="3" custScaleY="76536">
        <dgm:presLayoutVars>
          <dgm:bulletEnabled val="1"/>
        </dgm:presLayoutVars>
      </dgm:prSet>
      <dgm:spPr>
        <a:prstGeom prst="homePlate">
          <a:avLst/>
        </a:prstGeom>
      </dgm:spPr>
      <dgm:t>
        <a:bodyPr/>
        <a:lstStyle/>
        <a:p>
          <a:endParaRPr lang="fi-FI"/>
        </a:p>
      </dgm:t>
    </dgm:pt>
    <dgm:pt modelId="{875FA838-FFD6-4DF6-89B6-C0BAF90C0230}" type="pres">
      <dgm:prSet presAssocID="{CEAE49ED-D2EB-40C4-A762-D074814F8FDF}" presName="parSpace" presStyleCnt="0"/>
      <dgm:spPr/>
    </dgm:pt>
    <dgm:pt modelId="{D7690173-87BE-4709-9FCF-84164F4B2E01}" type="pres">
      <dgm:prSet presAssocID="{B4703847-F106-4CAC-8EC8-5549C21B99EE}" presName="parTxOnly" presStyleLbl="node1" presStyleIdx="1" presStyleCnt="3" custScaleY="76536">
        <dgm:presLayoutVars>
          <dgm:bulletEnabled val="1"/>
        </dgm:presLayoutVars>
      </dgm:prSet>
      <dgm:spPr>
        <a:prstGeom prst="chevron">
          <a:avLst/>
        </a:prstGeom>
      </dgm:spPr>
      <dgm:t>
        <a:bodyPr/>
        <a:lstStyle/>
        <a:p>
          <a:endParaRPr lang="fi-FI"/>
        </a:p>
      </dgm:t>
    </dgm:pt>
    <dgm:pt modelId="{C844942A-7EBB-4751-9D97-14FA6761F031}" type="pres">
      <dgm:prSet presAssocID="{206FB9C5-B492-4918-9E89-F95B4D9C2452}" presName="parSpace" presStyleCnt="0"/>
      <dgm:spPr/>
    </dgm:pt>
    <dgm:pt modelId="{C2C95121-CCB4-46CF-99B7-8C6305B2FA0C}" type="pres">
      <dgm:prSet presAssocID="{208CDE73-19C1-4036-8879-8329847AE7D7}" presName="parTxOnly" presStyleLbl="node1" presStyleIdx="2" presStyleCnt="3" custScaleY="76536">
        <dgm:presLayoutVars>
          <dgm:bulletEnabled val="1"/>
        </dgm:presLayoutVars>
      </dgm:prSet>
      <dgm:spPr>
        <a:prstGeom prst="chevron">
          <a:avLst/>
        </a:prstGeom>
      </dgm:spPr>
      <dgm:t>
        <a:bodyPr/>
        <a:lstStyle/>
        <a:p>
          <a:endParaRPr lang="fi-FI"/>
        </a:p>
      </dgm:t>
    </dgm:pt>
  </dgm:ptLst>
  <dgm:cxnLst>
    <dgm:cxn modelId="{4E090A98-91DC-4FC1-9D73-192590E6EE64}" srcId="{DD190E8A-B6B0-4A20-BAFD-FE24234791A5}" destId="{208CDE73-19C1-4036-8879-8329847AE7D7}" srcOrd="2" destOrd="0" parTransId="{91CEB43A-334A-49FE-961A-ADC1CD869A34}" sibTransId="{EBBEAAF7-F72D-4546-B3C2-D6724AEB7BB0}"/>
    <dgm:cxn modelId="{BAE55CB6-5FD4-48CE-AD62-043E266BF191}" type="presOf" srcId="{208CDE73-19C1-4036-8879-8329847AE7D7}" destId="{C2C95121-CCB4-46CF-99B7-8C6305B2FA0C}" srcOrd="0" destOrd="0" presId="urn:microsoft.com/office/officeart/2005/8/layout/hChevron3"/>
    <dgm:cxn modelId="{1085509A-80FE-4BC2-928F-B897E08D6DF2}" type="presOf" srcId="{D956D950-EA6A-4AAF-81D0-53349A2E3117}" destId="{E393BC9B-5E8E-4796-ABB9-3E83163505F1}" srcOrd="0" destOrd="0" presId="urn:microsoft.com/office/officeart/2005/8/layout/hChevron3"/>
    <dgm:cxn modelId="{0183CEB6-9761-4FC2-82CD-7635689E4BAA}" type="presOf" srcId="{B4703847-F106-4CAC-8EC8-5549C21B99EE}" destId="{D7690173-87BE-4709-9FCF-84164F4B2E01}" srcOrd="0" destOrd="0" presId="urn:microsoft.com/office/officeart/2005/8/layout/hChevron3"/>
    <dgm:cxn modelId="{FFFC13DE-2210-43AA-9C02-28E4678C6BE0}" type="presOf" srcId="{DD190E8A-B6B0-4A20-BAFD-FE24234791A5}" destId="{CA836F8A-9E70-496F-B2AE-4E890391DF27}" srcOrd="0" destOrd="0" presId="urn:microsoft.com/office/officeart/2005/8/layout/hChevron3"/>
    <dgm:cxn modelId="{483B6C17-5F38-487A-9E5D-B58392208D2C}" srcId="{DD190E8A-B6B0-4A20-BAFD-FE24234791A5}" destId="{D956D950-EA6A-4AAF-81D0-53349A2E3117}" srcOrd="0" destOrd="0" parTransId="{0F4F6C13-2B56-4A41-BD85-AF7F77877EC8}" sibTransId="{CEAE49ED-D2EB-40C4-A762-D074814F8FDF}"/>
    <dgm:cxn modelId="{A2917EE6-DFF2-4531-975A-40EE3E1ABD55}" srcId="{DD190E8A-B6B0-4A20-BAFD-FE24234791A5}" destId="{B4703847-F106-4CAC-8EC8-5549C21B99EE}" srcOrd="1" destOrd="0" parTransId="{30D0D01A-BC59-4A77-B11D-90715C5588DB}" sibTransId="{206FB9C5-B492-4918-9E89-F95B4D9C2452}"/>
    <dgm:cxn modelId="{03C61861-3E0B-4EE6-8B93-7987174E7B69}" type="presParOf" srcId="{CA836F8A-9E70-496F-B2AE-4E890391DF27}" destId="{E393BC9B-5E8E-4796-ABB9-3E83163505F1}" srcOrd="0" destOrd="0" presId="urn:microsoft.com/office/officeart/2005/8/layout/hChevron3"/>
    <dgm:cxn modelId="{DF897E43-C2E3-4494-B7D4-995B60A971C1}" type="presParOf" srcId="{CA836F8A-9E70-496F-B2AE-4E890391DF27}" destId="{875FA838-FFD6-4DF6-89B6-C0BAF90C0230}" srcOrd="1" destOrd="0" presId="urn:microsoft.com/office/officeart/2005/8/layout/hChevron3"/>
    <dgm:cxn modelId="{760967DB-2638-454F-9884-543835FCEBCD}" type="presParOf" srcId="{CA836F8A-9E70-496F-B2AE-4E890391DF27}" destId="{D7690173-87BE-4709-9FCF-84164F4B2E01}" srcOrd="2" destOrd="0" presId="urn:microsoft.com/office/officeart/2005/8/layout/hChevron3"/>
    <dgm:cxn modelId="{EBACCEF3-949A-409D-BED7-F15E9DE11FF0}" type="presParOf" srcId="{CA836F8A-9E70-496F-B2AE-4E890391DF27}" destId="{C844942A-7EBB-4751-9D97-14FA6761F031}" srcOrd="3" destOrd="0" presId="urn:microsoft.com/office/officeart/2005/8/layout/hChevron3"/>
    <dgm:cxn modelId="{5F18F957-AA29-4696-873E-41EEF7640901}" type="presParOf" srcId="{CA836F8A-9E70-496F-B2AE-4E890391DF27}" destId="{C2C95121-CCB4-46CF-99B7-8C6305B2FA0C}" srcOrd="4" destOrd="0" presId="urn:microsoft.com/office/officeart/2005/8/layout/hChevro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3BC9B-5E8E-4796-ABB9-3E83163505F1}">
      <dsp:nvSpPr>
        <dsp:cNvPr id="0" name=""/>
        <dsp:cNvSpPr/>
      </dsp:nvSpPr>
      <dsp:spPr>
        <a:xfrm>
          <a:off x="2041" y="306763"/>
          <a:ext cx="2123902" cy="71997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Miejsce wysyłki</a:t>
          </a:r>
        </a:p>
      </dsp:txBody>
      <dsp:txXfrm>
        <a:off x="2041" y="306763"/>
        <a:ext cx="1943909" cy="719972"/>
      </dsp:txXfrm>
    </dsp:sp>
    <dsp:sp modelId="{D7690173-87BE-4709-9FCF-84164F4B2E01}">
      <dsp:nvSpPr>
        <dsp:cNvPr id="0" name=""/>
        <dsp:cNvSpPr/>
      </dsp:nvSpPr>
      <dsp:spPr>
        <a:xfrm>
          <a:off x="1625100" y="306763"/>
          <a:ext cx="2504217" cy="71997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Granica państwa członkowskiego wywozu</a:t>
          </a:r>
        </a:p>
      </dsp:txBody>
      <dsp:txXfrm>
        <a:off x="1985086" y="306763"/>
        <a:ext cx="1784245" cy="719972"/>
      </dsp:txXfrm>
    </dsp:sp>
    <dsp:sp modelId="{C2C95121-CCB4-46CF-99B7-8C6305B2FA0C}">
      <dsp:nvSpPr>
        <dsp:cNvPr id="0" name=""/>
        <dsp:cNvSpPr/>
      </dsp:nvSpPr>
      <dsp:spPr>
        <a:xfrm>
          <a:off x="3628475" y="306763"/>
          <a:ext cx="2504217" cy="71997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Miejsce przeznaczenia</a:t>
          </a:r>
        </a:p>
      </dsp:txBody>
      <dsp:txXfrm>
        <a:off x="3988461" y="306763"/>
        <a:ext cx="1784245" cy="7199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3BC9B-5E8E-4796-ABB9-3E83163505F1}">
      <dsp:nvSpPr>
        <dsp:cNvPr id="0" name=""/>
        <dsp:cNvSpPr/>
      </dsp:nvSpPr>
      <dsp:spPr>
        <a:xfrm>
          <a:off x="1793" y="170432"/>
          <a:ext cx="1798983" cy="719593"/>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Miejsce wysyłki</a:t>
          </a:r>
        </a:p>
      </dsp:txBody>
      <dsp:txXfrm>
        <a:off x="1793" y="170432"/>
        <a:ext cx="1619085" cy="719593"/>
      </dsp:txXfrm>
    </dsp:sp>
    <dsp:sp modelId="{D7690173-87BE-4709-9FCF-84164F4B2E01}">
      <dsp:nvSpPr>
        <dsp:cNvPr id="0" name=""/>
        <dsp:cNvSpPr/>
      </dsp:nvSpPr>
      <dsp:spPr>
        <a:xfrm>
          <a:off x="1440979" y="170432"/>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Granica państwa członkowskiego wywozu</a:t>
          </a:r>
        </a:p>
      </dsp:txBody>
      <dsp:txXfrm>
        <a:off x="1800776" y="170432"/>
        <a:ext cx="1079390" cy="719593"/>
      </dsp:txXfrm>
    </dsp:sp>
    <dsp:sp modelId="{C2C95121-CCB4-46CF-99B7-8C6305B2FA0C}">
      <dsp:nvSpPr>
        <dsp:cNvPr id="0" name=""/>
        <dsp:cNvSpPr/>
      </dsp:nvSpPr>
      <dsp:spPr>
        <a:xfrm>
          <a:off x="2880166" y="170432"/>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Ustalone miejsce dostawy</a:t>
          </a:r>
        </a:p>
      </dsp:txBody>
      <dsp:txXfrm>
        <a:off x="3239963" y="170432"/>
        <a:ext cx="1079390" cy="719593"/>
      </dsp:txXfrm>
    </dsp:sp>
    <dsp:sp modelId="{42E1FE0F-5925-4487-AA30-633C7A177804}">
      <dsp:nvSpPr>
        <dsp:cNvPr id="0" name=""/>
        <dsp:cNvSpPr/>
      </dsp:nvSpPr>
      <dsp:spPr>
        <a:xfrm>
          <a:off x="4319353" y="170432"/>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Miejsce przeznaczenia</a:t>
          </a:r>
        </a:p>
      </dsp:txBody>
      <dsp:txXfrm>
        <a:off x="4679150" y="170432"/>
        <a:ext cx="1079390" cy="7195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3BC9B-5E8E-4796-ABB9-3E83163505F1}">
      <dsp:nvSpPr>
        <dsp:cNvPr id="0" name=""/>
        <dsp:cNvSpPr/>
      </dsp:nvSpPr>
      <dsp:spPr>
        <a:xfrm>
          <a:off x="2689" y="170230"/>
          <a:ext cx="2351827" cy="71999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Miejsce wysyłki</a:t>
          </a:r>
        </a:p>
      </dsp:txBody>
      <dsp:txXfrm>
        <a:off x="2689" y="170230"/>
        <a:ext cx="2171828" cy="719997"/>
      </dsp:txXfrm>
    </dsp:sp>
    <dsp:sp modelId="{D7690173-87BE-4709-9FCF-84164F4B2E01}">
      <dsp:nvSpPr>
        <dsp:cNvPr id="0" name=""/>
        <dsp:cNvSpPr/>
      </dsp:nvSpPr>
      <dsp:spPr>
        <a:xfrm>
          <a:off x="1884151" y="170230"/>
          <a:ext cx="2351827" cy="71999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Granica państwa członkowskiego wywozu</a:t>
          </a:r>
        </a:p>
      </dsp:txBody>
      <dsp:txXfrm>
        <a:off x="2244150" y="170230"/>
        <a:ext cx="1631830" cy="719997"/>
      </dsp:txXfrm>
    </dsp:sp>
    <dsp:sp modelId="{C2C95121-CCB4-46CF-99B7-8C6305B2FA0C}">
      <dsp:nvSpPr>
        <dsp:cNvPr id="0" name=""/>
        <dsp:cNvSpPr/>
      </dsp:nvSpPr>
      <dsp:spPr>
        <a:xfrm>
          <a:off x="3765613" y="170230"/>
          <a:ext cx="2351827" cy="71999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baseline="0">
              <a:solidFill>
                <a:sysClr val="window" lastClr="FFFFFF"/>
              </a:solidFill>
              <a:latin typeface="Calibri"/>
              <a:ea typeface="+mn-ea"/>
              <a:cs typeface="+mn-cs"/>
            </a:rPr>
            <a:t>Miejsce przeznaczenia</a:t>
          </a:r>
        </a:p>
      </dsp:txBody>
      <dsp:txXfrm>
        <a:off x="4125612" y="170230"/>
        <a:ext cx="1631830" cy="71999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9229</Words>
  <Characters>55379</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64480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Wasilewska Marzena</dc:creator>
  <cp:lastModifiedBy>Wiaderna Małgorzata</cp:lastModifiedBy>
  <cp:revision>2</cp:revision>
  <dcterms:created xsi:type="dcterms:W3CDTF">2018-05-21T14:26:00Z</dcterms:created>
  <dcterms:modified xsi:type="dcterms:W3CDTF">2018-05-21T14:26:00Z</dcterms:modified>
</cp:coreProperties>
</file>