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BD" w:rsidRDefault="000528BD" w:rsidP="000528BD">
      <w:pPr>
        <w:spacing w:after="120" w:line="264" w:lineRule="auto"/>
        <w:ind w:right="26"/>
        <w:jc w:val="both"/>
        <w:rPr>
          <w:rFonts w:ascii="Times New Roman" w:hAnsi="Times New Roman"/>
          <w:b/>
        </w:rPr>
      </w:pPr>
      <w:r w:rsidRPr="00CF5EB8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7</w:t>
      </w:r>
      <w:r w:rsidRPr="00CF5EB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10</w:t>
      </w:r>
      <w:r w:rsidRPr="00CF5EB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30</w:t>
      </w:r>
    </w:p>
    <w:p w:rsidR="000528BD" w:rsidRPr="000528BD" w:rsidRDefault="000528BD" w:rsidP="000528B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</w:rPr>
      </w:pPr>
      <w:r w:rsidRPr="0093089F">
        <w:rPr>
          <w:rFonts w:ascii="Times New Roman" w:eastAsiaTheme="minorHAnsi" w:hAnsi="Times New Roman"/>
          <w:b/>
          <w:bCs/>
        </w:rPr>
        <w:t xml:space="preserve">Informacja dla użytkowników „Instrukcji wypełniania zgłoszeń celnych” dotycząca zmian wprowadzonych w ww. Instrukcji </w:t>
      </w:r>
      <w:r>
        <w:rPr>
          <w:rFonts w:ascii="Times New Roman" w:eastAsiaTheme="minorHAnsi" w:hAnsi="Times New Roman"/>
          <w:b/>
          <w:bCs/>
        </w:rPr>
        <w:t>związanych</w:t>
      </w:r>
      <w:r>
        <w:rPr>
          <w:rFonts w:ascii="Times New Roman" w:eastAsiaTheme="minorHAnsi" w:hAnsi="Times New Roman"/>
          <w:b/>
          <w:bCs/>
        </w:rPr>
        <w:t xml:space="preserve"> </w:t>
      </w:r>
      <w:r w:rsidRPr="000528BD">
        <w:rPr>
          <w:rFonts w:ascii="Times New Roman" w:eastAsiaTheme="minorHAnsi" w:hAnsi="Times New Roman"/>
          <w:b/>
          <w:bCs/>
        </w:rPr>
        <w:t>z</w:t>
      </w:r>
      <w:r w:rsidRPr="000528BD">
        <w:rPr>
          <w:rFonts w:ascii="Times New Roman" w:hAnsi="Times New Roman"/>
          <w:b/>
        </w:rPr>
        <w:t xml:space="preserve"> </w:t>
      </w:r>
      <w:r w:rsidRPr="000528BD">
        <w:rPr>
          <w:rFonts w:ascii="Times New Roman" w:hAnsi="Times New Roman"/>
          <w:b/>
        </w:rPr>
        <w:t>uruchomieniem Automatycznego Systemu Eksportu (AES)</w:t>
      </w:r>
    </w:p>
    <w:p w:rsidR="000528BD" w:rsidRPr="0093089F" w:rsidRDefault="000528BD" w:rsidP="000528BD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eastAsiaTheme="minorHAnsi" w:hAnsi="Times New Roman"/>
          <w:b/>
          <w:bCs/>
        </w:rPr>
        <w:t xml:space="preserve"> </w:t>
      </w:r>
    </w:p>
    <w:p w:rsidR="000528BD" w:rsidRDefault="000528BD" w:rsidP="0087124E">
      <w:pPr>
        <w:spacing w:after="120" w:line="264" w:lineRule="auto"/>
        <w:ind w:right="26"/>
        <w:jc w:val="both"/>
        <w:rPr>
          <w:rFonts w:ascii="Times New Roman" w:hAnsi="Times New Roman"/>
        </w:rPr>
      </w:pP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Ministerstw</w:t>
      </w:r>
      <w:r w:rsidR="00D77654">
        <w:rPr>
          <w:rFonts w:ascii="Times New Roman" w:hAnsi="Times New Roman"/>
        </w:rPr>
        <w:t>o</w:t>
      </w:r>
      <w:r w:rsidRPr="00D76F8C">
        <w:rPr>
          <w:rFonts w:ascii="Times New Roman" w:hAnsi="Times New Roman"/>
        </w:rPr>
        <w:t xml:space="preserve"> Finansów uprzejmie informuje, że w związku z uruchomieniem Automatycznego Systemu Eksportu (AES), w </w:t>
      </w:r>
      <w:r w:rsidRPr="00D76F8C">
        <w:rPr>
          <w:rFonts w:ascii="Times New Roman" w:hAnsi="Times New Roman"/>
          <w:i/>
        </w:rPr>
        <w:t>Instrukcji wypełniania zgłoszeń celnych</w:t>
      </w:r>
      <w:r w:rsidRPr="00D76F8C">
        <w:rPr>
          <w:rFonts w:ascii="Times New Roman" w:hAnsi="Times New Roman"/>
        </w:rPr>
        <w:t xml:space="preserve"> w wersji 1.16 z dnia 28.04.2016 r., wprowadza się następujące zmiany: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  <w:b/>
        </w:rPr>
      </w:pP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  <w:b/>
        </w:rPr>
      </w:pPr>
      <w:r w:rsidRPr="00D76F8C">
        <w:rPr>
          <w:rFonts w:ascii="Times New Roman" w:hAnsi="Times New Roman"/>
          <w:b/>
        </w:rPr>
        <w:t xml:space="preserve">1. W całej Instrukcji wyraz  </w:t>
      </w:r>
      <w:r>
        <w:rPr>
          <w:rFonts w:ascii="Times New Roman" w:hAnsi="Times New Roman"/>
          <w:b/>
        </w:rPr>
        <w:t>ECS zastępuję się wyrazem „AES”.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  <w:b/>
        </w:rPr>
      </w:pPr>
    </w:p>
    <w:p w:rsidR="0087124E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W Części II Sekcja A: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  <w:b/>
        </w:rPr>
        <w:t>a)</w:t>
      </w:r>
      <w:r w:rsidRPr="00D76F8C">
        <w:rPr>
          <w:rFonts w:ascii="Times New Roman" w:hAnsi="Times New Roman"/>
        </w:rPr>
        <w:t xml:space="preserve"> </w:t>
      </w:r>
      <w:r w:rsidRPr="00E737B4">
        <w:rPr>
          <w:rFonts w:ascii="Times New Roman" w:hAnsi="Times New Roman"/>
          <w:b/>
        </w:rPr>
        <w:t>w opisie pola  2</w:t>
      </w:r>
      <w:r w:rsidRPr="00D76F8C">
        <w:rPr>
          <w:rFonts w:ascii="Times New Roman" w:hAnsi="Times New Roman"/>
        </w:rPr>
        <w:t>,</w:t>
      </w:r>
      <w:r w:rsidRPr="00D76F8C">
        <w:rPr>
          <w:rFonts w:ascii="Times New Roman" w:hAnsi="Times New Roman"/>
          <w:b/>
        </w:rPr>
        <w:t xml:space="preserve"> </w:t>
      </w:r>
      <w:r w:rsidRPr="00D76F8C">
        <w:rPr>
          <w:rFonts w:ascii="Times New Roman" w:hAnsi="Times New Roman"/>
        </w:rPr>
        <w:t>w pkt 1, pierwszy akapit (str. 18) otrzymuje brzmienie:</w:t>
      </w:r>
    </w:p>
    <w:p w:rsidR="0087124E" w:rsidRPr="00D76F8C" w:rsidRDefault="0087124E" w:rsidP="0087124E">
      <w:pPr>
        <w:widowControl w:val="0"/>
        <w:jc w:val="both"/>
        <w:rPr>
          <w:rFonts w:ascii="Times New Roman" w:eastAsia="Times New Roman" w:hAnsi="Times New Roman"/>
          <w:bCs/>
        </w:rPr>
      </w:pPr>
      <w:r w:rsidRPr="00D76F8C">
        <w:rPr>
          <w:rFonts w:ascii="Times New Roman" w:eastAsia="Times New Roman" w:hAnsi="Times New Roman"/>
          <w:bCs/>
        </w:rPr>
        <w:t xml:space="preserve"> „Następujące dane podaje się w odpowiednich atrybutach, w sposób wskazany w specyfikacji XML, opublikowanej na stronie </w:t>
      </w:r>
      <w:hyperlink r:id="rId8" w:history="1">
        <w:r w:rsidRPr="00D76F8C">
          <w:rPr>
            <w:rFonts w:ascii="Times New Roman" w:eastAsia="Times New Roman" w:hAnsi="Times New Roman"/>
            <w:bCs/>
            <w:color w:val="0000FF"/>
            <w:u w:val="single"/>
          </w:rPr>
          <w:t>www.puesc.gov.pl</w:t>
        </w:r>
      </w:hyperlink>
      <w:r w:rsidRPr="00D76F8C">
        <w:rPr>
          <w:rFonts w:ascii="Times New Roman" w:eastAsia="Times New Roman" w:hAnsi="Times New Roman"/>
          <w:bCs/>
        </w:rPr>
        <w:t xml:space="preserve"> w zakładce SISC/AES”.</w:t>
      </w:r>
      <w:r>
        <w:rPr>
          <w:rFonts w:ascii="Times New Roman" w:eastAsia="Times New Roman" w:hAnsi="Times New Roman"/>
          <w:bCs/>
        </w:rPr>
        <w:t>”;</w:t>
      </w:r>
    </w:p>
    <w:p w:rsidR="0087124E" w:rsidRPr="00D76F8C" w:rsidRDefault="0087124E" w:rsidP="0087124E">
      <w:pPr>
        <w:jc w:val="both"/>
        <w:rPr>
          <w:rFonts w:ascii="Times New Roman" w:eastAsia="Times New Roman" w:hAnsi="Times New Roman"/>
        </w:rPr>
      </w:pPr>
    </w:p>
    <w:p w:rsidR="0087124E" w:rsidRPr="00D76F8C" w:rsidRDefault="0087124E" w:rsidP="0087124E">
      <w:pPr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  <w:b/>
        </w:rPr>
        <w:t>b)</w:t>
      </w:r>
      <w:r w:rsidRPr="00D76F8C">
        <w:rPr>
          <w:rFonts w:ascii="Times New Roman" w:hAnsi="Times New Roman"/>
        </w:rPr>
        <w:t xml:space="preserve"> </w:t>
      </w:r>
      <w:r w:rsidRPr="00E737B4">
        <w:rPr>
          <w:rFonts w:ascii="Times New Roman" w:hAnsi="Times New Roman"/>
          <w:b/>
        </w:rPr>
        <w:t>w opisie pola  14</w:t>
      </w:r>
      <w:r w:rsidRPr="00D76F8C">
        <w:rPr>
          <w:rFonts w:ascii="Times New Roman" w:hAnsi="Times New Roman"/>
        </w:rPr>
        <w:t>, zdanie wprowadzające do pierwszego akapitu (str. 22) otrzymuje brzmienie:</w:t>
      </w:r>
    </w:p>
    <w:p w:rsidR="0087124E" w:rsidRPr="00D76F8C" w:rsidRDefault="0087124E" w:rsidP="0087124E">
      <w:pPr>
        <w:jc w:val="both"/>
        <w:rPr>
          <w:rFonts w:ascii="Times New Roman" w:eastAsia="Times New Roman" w:hAnsi="Times New Roman"/>
        </w:rPr>
      </w:pPr>
    </w:p>
    <w:p w:rsidR="0087124E" w:rsidRPr="00D76F8C" w:rsidRDefault="0087124E" w:rsidP="0087124E">
      <w:pPr>
        <w:jc w:val="both"/>
        <w:rPr>
          <w:rFonts w:ascii="Times New Roman" w:eastAsia="Times New Roman" w:hAnsi="Times New Roman"/>
        </w:rPr>
      </w:pPr>
      <w:r w:rsidRPr="00D76F8C">
        <w:rPr>
          <w:rFonts w:ascii="Times New Roman" w:eastAsia="Times New Roman" w:hAnsi="Times New Roman"/>
        </w:rPr>
        <w:t xml:space="preserve">„W polu tym, aby określić zgłaszającego lub status przedstawiciela eksportera, przed pełnym nazwiskiem i adresem wpisać należy jeden z podanych poniżej kodów </w:t>
      </w:r>
      <w:proofErr w:type="spellStart"/>
      <w:r w:rsidRPr="00D76F8C">
        <w:rPr>
          <w:rFonts w:ascii="Times New Roman" w:eastAsia="Times New Roman" w:hAnsi="Times New Roman"/>
        </w:rPr>
        <w:t>jednonumerycznych</w:t>
      </w:r>
      <w:proofErr w:type="spellEnd"/>
      <w:r w:rsidRPr="00D76F8C">
        <w:rPr>
          <w:rFonts w:ascii="Times New Roman" w:eastAsia="Times New Roman" w:hAnsi="Times New Roman"/>
        </w:rPr>
        <w:t xml:space="preserve"> (n1):”;</w:t>
      </w:r>
    </w:p>
    <w:p w:rsidR="0087124E" w:rsidRPr="00D76F8C" w:rsidRDefault="0087124E" w:rsidP="0087124E">
      <w:pPr>
        <w:jc w:val="both"/>
        <w:rPr>
          <w:rFonts w:ascii="Times New Roman" w:eastAsia="Times New Roman" w:hAnsi="Times New Roman"/>
        </w:rPr>
      </w:pPr>
    </w:p>
    <w:p w:rsidR="0087124E" w:rsidRPr="00D76F8C" w:rsidRDefault="0087124E" w:rsidP="0087124E">
      <w:pPr>
        <w:jc w:val="both"/>
        <w:rPr>
          <w:rFonts w:ascii="Times New Roman" w:eastAsia="Times New Roman" w:hAnsi="Times New Roman"/>
        </w:rPr>
      </w:pPr>
      <w:r w:rsidRPr="00D76F8C">
        <w:rPr>
          <w:rFonts w:ascii="Times New Roman" w:hAnsi="Times New Roman"/>
          <w:b/>
        </w:rPr>
        <w:t xml:space="preserve">c) </w:t>
      </w:r>
      <w:r w:rsidRPr="00E737B4">
        <w:rPr>
          <w:rFonts w:ascii="Times New Roman" w:hAnsi="Times New Roman"/>
          <w:b/>
        </w:rPr>
        <w:t>w opisie pola 18</w:t>
      </w:r>
      <w:r w:rsidRPr="00D76F8C">
        <w:rPr>
          <w:rFonts w:ascii="Times New Roman" w:hAnsi="Times New Roman"/>
        </w:rPr>
        <w:t xml:space="preserve"> (</w:t>
      </w:r>
      <w:r w:rsidRPr="00E737B4">
        <w:rPr>
          <w:rFonts w:ascii="Times New Roman" w:hAnsi="Times New Roman"/>
        </w:rPr>
        <w:t>str. 28)</w:t>
      </w:r>
      <w:r>
        <w:rPr>
          <w:rFonts w:ascii="Times New Roman" w:hAnsi="Times New Roman"/>
        </w:rPr>
        <w:t>,</w:t>
      </w:r>
      <w:r w:rsidRPr="00D76F8C">
        <w:rPr>
          <w:rFonts w:ascii="Times New Roman" w:hAnsi="Times New Roman"/>
        </w:rPr>
        <w:t xml:space="preserve"> pierwszy akapit otrzymuje brzmienie: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  <w:b/>
        </w:rPr>
      </w:pPr>
    </w:p>
    <w:p w:rsidR="0087124E" w:rsidRPr="00D76F8C" w:rsidRDefault="0087124E" w:rsidP="0087124E">
      <w:pPr>
        <w:jc w:val="both"/>
        <w:rPr>
          <w:rFonts w:ascii="Times New Roman" w:eastAsia="Times New Roman" w:hAnsi="Times New Roman"/>
        </w:rPr>
      </w:pPr>
      <w:r w:rsidRPr="00D76F8C">
        <w:rPr>
          <w:rFonts w:ascii="Times New Roman" w:eastAsia="Times New Roman" w:hAnsi="Times New Roman"/>
        </w:rPr>
        <w:t>„W pierwszej części pola należy podać oznakowanie środków transportu, na które towary zostały bezpośrednio załadowane przy ich przedstawianiu urzędowi wywozu lub podczas wypełniania formalności tranzytowych.”;</w:t>
      </w:r>
    </w:p>
    <w:p w:rsidR="0087124E" w:rsidRPr="00D76F8C" w:rsidRDefault="0087124E" w:rsidP="0087124E">
      <w:pPr>
        <w:jc w:val="both"/>
        <w:rPr>
          <w:rFonts w:ascii="Times New Roman" w:hAnsi="Times New Roman"/>
          <w:b/>
        </w:rPr>
      </w:pPr>
    </w:p>
    <w:p w:rsidR="0087124E" w:rsidRPr="00E737B4" w:rsidRDefault="0087124E" w:rsidP="0087124E">
      <w:pPr>
        <w:jc w:val="both"/>
        <w:rPr>
          <w:rFonts w:ascii="Times New Roman" w:eastAsia="Times New Roman" w:hAnsi="Times New Roman"/>
        </w:rPr>
      </w:pPr>
      <w:r w:rsidRPr="00D76F8C">
        <w:rPr>
          <w:rFonts w:ascii="Times New Roman" w:hAnsi="Times New Roman"/>
          <w:b/>
        </w:rPr>
        <w:t xml:space="preserve">d) w opisie pola  26 </w:t>
      </w:r>
      <w:r w:rsidRPr="00E737B4">
        <w:rPr>
          <w:rFonts w:ascii="Times New Roman" w:hAnsi="Times New Roman"/>
        </w:rPr>
        <w:t>(str. 31-32)</w:t>
      </w:r>
      <w:r>
        <w:rPr>
          <w:rFonts w:ascii="Times New Roman" w:hAnsi="Times New Roman"/>
        </w:rPr>
        <w:t>,</w:t>
      </w:r>
      <w:r w:rsidRPr="00E737B4">
        <w:rPr>
          <w:rFonts w:ascii="Times New Roman" w:hAnsi="Times New Roman"/>
        </w:rPr>
        <w:t xml:space="preserve"> drugi akapit otrzymuje brzmienie:</w:t>
      </w:r>
    </w:p>
    <w:p w:rsidR="0087124E" w:rsidRPr="00D76F8C" w:rsidRDefault="0087124E" w:rsidP="0087124E">
      <w:pPr>
        <w:jc w:val="both"/>
        <w:rPr>
          <w:rFonts w:ascii="Times New Roman" w:eastAsia="Times New Roman" w:hAnsi="Times New Roman"/>
        </w:rPr>
      </w:pPr>
    </w:p>
    <w:p w:rsidR="0087124E" w:rsidRPr="00D76F8C" w:rsidRDefault="0087124E" w:rsidP="0087124E">
      <w:pPr>
        <w:widowControl w:val="0"/>
        <w:tabs>
          <w:tab w:val="left" w:pos="0"/>
          <w:tab w:val="left" w:pos="1134"/>
          <w:tab w:val="left" w:pos="1701"/>
          <w:tab w:val="left" w:pos="2268"/>
        </w:tabs>
        <w:jc w:val="both"/>
        <w:rPr>
          <w:rFonts w:ascii="Times New Roman" w:eastAsia="Times New Roman" w:hAnsi="Times New Roman"/>
        </w:rPr>
      </w:pPr>
      <w:r w:rsidRPr="00D76F8C">
        <w:rPr>
          <w:rFonts w:ascii="Times New Roman" w:eastAsia="Times New Roman" w:hAnsi="Times New Roman"/>
        </w:rPr>
        <w:t>„Pola nie wypełnia się, gdy zgłoszenie wywozowe  składane jest w punkcie opuszczania przez towar obszaru celnego Unii (unijny urząd graniczny przy wyjściu/wyprowadzeniu).</w:t>
      </w:r>
      <w:r>
        <w:rPr>
          <w:rFonts w:ascii="Times New Roman" w:eastAsia="Times New Roman" w:hAnsi="Times New Roman"/>
        </w:rPr>
        <w:t>”.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  <w:b/>
        </w:rPr>
      </w:pP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  <w:b/>
        </w:rPr>
        <w:t>3. W Części IV:</w:t>
      </w:r>
    </w:p>
    <w:p w:rsidR="0087124E" w:rsidRPr="00D76F8C" w:rsidRDefault="0087124E" w:rsidP="0087124E">
      <w:pPr>
        <w:jc w:val="both"/>
        <w:rPr>
          <w:rFonts w:ascii="Times New Roman" w:eastAsia="Times New Roman" w:hAnsi="Times New Roman"/>
        </w:rPr>
      </w:pPr>
      <w:r w:rsidRPr="008B2D7F">
        <w:rPr>
          <w:rFonts w:ascii="Times New Roman" w:hAnsi="Times New Roman"/>
          <w:b/>
        </w:rPr>
        <w:t>a) w opisie pola 29</w:t>
      </w:r>
      <w:r w:rsidRPr="00D76F8C">
        <w:rPr>
          <w:rFonts w:ascii="Times New Roman" w:hAnsi="Times New Roman"/>
        </w:rPr>
        <w:t xml:space="preserve"> (str.</w:t>
      </w:r>
      <w:r>
        <w:rPr>
          <w:rFonts w:ascii="Times New Roman" w:hAnsi="Times New Roman"/>
        </w:rPr>
        <w:t xml:space="preserve"> 101</w:t>
      </w:r>
      <w:r w:rsidRPr="00E737B4">
        <w:rPr>
          <w:rFonts w:ascii="Times New Roman" w:hAnsi="Times New Roman"/>
        </w:rPr>
        <w:t>)</w:t>
      </w:r>
      <w:r w:rsidRPr="00D76F8C">
        <w:rPr>
          <w:rFonts w:ascii="Times New Roman" w:hAnsi="Times New Roman"/>
        </w:rPr>
        <w:t xml:space="preserve"> ostatni akapit otrzymuje brzmienie: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</w:rPr>
      </w:pPr>
    </w:p>
    <w:p w:rsidR="0087124E" w:rsidRPr="00D76F8C" w:rsidRDefault="0087124E" w:rsidP="0087124E">
      <w:pPr>
        <w:rPr>
          <w:rFonts w:ascii="Times New Roman" w:eastAsia="Times New Roman" w:hAnsi="Times New Roman"/>
          <w:color w:val="000080"/>
        </w:rPr>
      </w:pPr>
      <w:r w:rsidRPr="00D76F8C">
        <w:rPr>
          <w:rFonts w:ascii="Times New Roman" w:eastAsia="Times New Roman" w:hAnsi="Times New Roman"/>
        </w:rPr>
        <w:t xml:space="preserve">„Kody organów celnych można znaleźć </w:t>
      </w:r>
      <w:r>
        <w:rPr>
          <w:rFonts w:ascii="Times New Roman" w:eastAsia="Times New Roman" w:hAnsi="Times New Roman"/>
        </w:rPr>
        <w:t>na „Liście urzędów celnych” dostępnej na stronie Komisji Europejskiej pod adresem:</w:t>
      </w:r>
      <w:r w:rsidRPr="00D76F8C">
        <w:rPr>
          <w:rFonts w:ascii="Times New Roman" w:eastAsia="Times New Roman" w:hAnsi="Times New Roman"/>
        </w:rPr>
        <w:t xml:space="preserve"> </w:t>
      </w:r>
      <w:hyperlink r:id="rId9" w:tooltip="http://ec.europa.eu/taxation_customs/dds2/col/col_home.jsp?Lang=pl&amp;Screen=0" w:history="1">
        <w:r w:rsidRPr="00D76F8C">
          <w:rPr>
            <w:rFonts w:ascii="Times New Roman" w:eastAsia="Times New Roman" w:hAnsi="Times New Roman"/>
            <w:color w:val="0000FF"/>
            <w:u w:val="single"/>
          </w:rPr>
          <w:t>http://ec.europa.eu/taxation_customs/dds2/col/col_home.jsp?Lang=pl&amp;Screen=0</w:t>
        </w:r>
      </w:hyperlink>
      <w:r w:rsidRPr="00E0092F">
        <w:rPr>
          <w:rFonts w:ascii="Times New Roman" w:eastAsia="Times New Roman" w:hAnsi="Times New Roman"/>
          <w:u w:val="single"/>
        </w:rPr>
        <w:t>”;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</w:rPr>
      </w:pPr>
    </w:p>
    <w:p w:rsidR="0087124E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  <w:b/>
        </w:rPr>
      </w:pP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</w:rPr>
      </w:pPr>
      <w:r w:rsidRPr="008B2D7F">
        <w:rPr>
          <w:rFonts w:ascii="Times New Roman" w:hAnsi="Times New Roman"/>
          <w:b/>
        </w:rPr>
        <w:lastRenderedPageBreak/>
        <w:t>b) w opisie pola 44</w:t>
      </w:r>
      <w:r w:rsidRPr="00D76F8C">
        <w:rPr>
          <w:rFonts w:ascii="Times New Roman" w:hAnsi="Times New Roman"/>
        </w:rPr>
        <w:t xml:space="preserve"> w  sekcji B. „Krajowe kody informacji dodatkowych” (str. 158 – 162)</w:t>
      </w:r>
      <w:r>
        <w:rPr>
          <w:rFonts w:ascii="Times New Roman" w:hAnsi="Times New Roman"/>
        </w:rPr>
        <w:t>:</w:t>
      </w:r>
      <w:r w:rsidRPr="00D76F8C">
        <w:rPr>
          <w:rFonts w:ascii="Times New Roman" w:hAnsi="Times New Roman"/>
        </w:rPr>
        <w:t xml:space="preserve">  </w:t>
      </w:r>
    </w:p>
    <w:p w:rsidR="0087124E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</w:rPr>
      </w:pP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 xml:space="preserve">- </w:t>
      </w:r>
      <w:r w:rsidRPr="00D76F8C">
        <w:rPr>
          <w:rFonts w:ascii="Times New Roman" w:hAnsi="Times New Roman"/>
          <w:b/>
        </w:rPr>
        <w:t>wprowadza się następujące kody</w:t>
      </w:r>
      <w:r w:rsidRPr="00D76F8C">
        <w:rPr>
          <w:rFonts w:ascii="Times New Roman" w:hAnsi="Times New Roman"/>
        </w:rPr>
        <w:t>:</w:t>
      </w:r>
    </w:p>
    <w:p w:rsidR="0087124E" w:rsidRPr="000D1441" w:rsidRDefault="0087124E" w:rsidP="0087124E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„</w:t>
      </w:r>
      <w:r w:rsidRPr="000D1441">
        <w:rPr>
          <w:rFonts w:ascii="Times New Roman" w:hAnsi="Times New Roman"/>
          <w:b/>
          <w:bCs/>
          <w:color w:val="000000"/>
        </w:rPr>
        <w:t xml:space="preserve">0PL14 </w:t>
      </w:r>
      <w:r w:rsidRPr="000D1441">
        <w:rPr>
          <w:rFonts w:ascii="Times New Roman" w:hAnsi="Times New Roman"/>
          <w:bCs/>
          <w:color w:val="000000"/>
        </w:rPr>
        <w:t xml:space="preserve">-  </w:t>
      </w:r>
      <w:r w:rsidRPr="000D1441">
        <w:rPr>
          <w:rFonts w:ascii="Times New Roman" w:eastAsia="Calibri" w:hAnsi="Times New Roman"/>
        </w:rPr>
        <w:t>wyłączenie walidacji powiązań pomiędzy przedstawicielem celnym a mocodawcą, czyli e</w:t>
      </w:r>
      <w:r>
        <w:rPr>
          <w:rFonts w:ascii="Times New Roman" w:eastAsia="Calibri" w:hAnsi="Times New Roman"/>
        </w:rPr>
        <w:t>ksporterem albo nadawcą (w AES).</w:t>
      </w:r>
    </w:p>
    <w:p w:rsidR="0087124E" w:rsidRPr="000D1441" w:rsidRDefault="0087124E" w:rsidP="0087124E">
      <w:pPr>
        <w:spacing w:after="120" w:line="276" w:lineRule="auto"/>
        <w:jc w:val="both"/>
        <w:rPr>
          <w:rFonts w:ascii="Times New Roman" w:eastAsia="Calibri" w:hAnsi="Times New Roman"/>
        </w:rPr>
      </w:pPr>
      <w:r w:rsidRPr="000D1441">
        <w:rPr>
          <w:rFonts w:ascii="Times New Roman" w:eastAsia="Calibri" w:hAnsi="Times New Roman"/>
        </w:rPr>
        <w:t xml:space="preserve">W systemie AES zaimplementowana została funkcjonalność dająca możliwość weryfikacji powiązania pomiędzy przedstawicielem celnym a mocodawcą, czyli eksporterem albo nadawcą (w AES). </w:t>
      </w:r>
    </w:p>
    <w:p w:rsidR="0087124E" w:rsidRPr="000D1441" w:rsidRDefault="0087124E" w:rsidP="0087124E">
      <w:pPr>
        <w:spacing w:after="120" w:line="276" w:lineRule="auto"/>
        <w:jc w:val="both"/>
        <w:rPr>
          <w:rFonts w:ascii="Times New Roman" w:eastAsia="Calibri" w:hAnsi="Times New Roman"/>
        </w:rPr>
      </w:pPr>
      <w:r w:rsidRPr="000D1441">
        <w:rPr>
          <w:rFonts w:ascii="Times New Roman" w:eastAsia="Calibri" w:hAnsi="Times New Roman"/>
        </w:rPr>
        <w:t xml:space="preserve">Skutkiem negatywnej walidacji (braku powiązań pomiędzy podmiotami dokonanymi w ramach usługi e- Klient) będzie odrzucenie zgłoszenia celnego. </w:t>
      </w:r>
    </w:p>
    <w:p w:rsidR="0087124E" w:rsidRPr="000D1441" w:rsidRDefault="0087124E" w:rsidP="0087124E">
      <w:pPr>
        <w:spacing w:after="120" w:line="276" w:lineRule="auto"/>
        <w:jc w:val="both"/>
        <w:rPr>
          <w:rFonts w:ascii="Times New Roman" w:eastAsia="Calibri" w:hAnsi="Times New Roman"/>
        </w:rPr>
      </w:pPr>
      <w:r w:rsidRPr="000D1441">
        <w:rPr>
          <w:rFonts w:ascii="Times New Roman" w:eastAsia="Calibri" w:hAnsi="Times New Roman"/>
        </w:rPr>
        <w:t>Z walidacji w AES wyłączone są przypadki, gdy zgłoszenie celne:</w:t>
      </w:r>
    </w:p>
    <w:p w:rsidR="0087124E" w:rsidRPr="000D1441" w:rsidRDefault="0087124E" w:rsidP="0087124E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0D1441">
        <w:rPr>
          <w:rFonts w:ascii="Times New Roman" w:eastAsia="Calibri" w:hAnsi="Times New Roman"/>
        </w:rPr>
        <w:t>jest składane przez przedstawiciela reprezentującego osobę fizyczną albo inną osobę nieobjętą obowiązkiem uzyskania nr EORI (np. objęcie towaru procedurą odprawy czasowej),</w:t>
      </w:r>
    </w:p>
    <w:p w:rsidR="0087124E" w:rsidRPr="000D1441" w:rsidRDefault="0087124E" w:rsidP="0087124E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0D1441">
        <w:rPr>
          <w:rFonts w:ascii="Times New Roman" w:eastAsia="Calibri" w:hAnsi="Times New Roman"/>
        </w:rPr>
        <w:t>dotyczy przesyłek przewożonych przez operatora kurierskiego i zgłaszanych przez takiego operatora albo innego przedstawiciela celnego,</w:t>
      </w:r>
    </w:p>
    <w:p w:rsidR="0087124E" w:rsidRPr="000D1441" w:rsidRDefault="0087124E" w:rsidP="0087124E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0D1441">
        <w:rPr>
          <w:rFonts w:ascii="Times New Roman" w:eastAsia="Calibri" w:hAnsi="Times New Roman"/>
        </w:rPr>
        <w:t>składane jest na podstawie upoważnienia jednorazowego.</w:t>
      </w:r>
    </w:p>
    <w:p w:rsidR="0087124E" w:rsidRPr="000D1441" w:rsidRDefault="0087124E" w:rsidP="0087124E">
      <w:pPr>
        <w:spacing w:after="120" w:line="276" w:lineRule="auto"/>
        <w:jc w:val="both"/>
        <w:rPr>
          <w:rFonts w:ascii="Times New Roman" w:eastAsia="Calibri" w:hAnsi="Times New Roman"/>
        </w:rPr>
      </w:pPr>
      <w:r w:rsidRPr="000D1441">
        <w:rPr>
          <w:rFonts w:ascii="Times New Roman" w:eastAsia="Calibri" w:hAnsi="Times New Roman"/>
        </w:rPr>
        <w:t xml:space="preserve">Powyższe wyłączenia uzasadnione są specyfiką obrotu, charakteryzującego się sporadycznością oraz - w przypadku obrotu kurierskiego – dodatkowo dużą ilością przesyłek oraz ich </w:t>
      </w:r>
      <w:r>
        <w:rPr>
          <w:rFonts w:ascii="Times New Roman" w:eastAsia="Calibri" w:hAnsi="Times New Roman"/>
        </w:rPr>
        <w:t>nadawców/</w:t>
      </w:r>
      <w:r w:rsidRPr="000D1441">
        <w:rPr>
          <w:rFonts w:ascii="Times New Roman" w:eastAsia="Calibri" w:hAnsi="Times New Roman"/>
        </w:rPr>
        <w:t>odbiorców występujących często jednorazowo.</w:t>
      </w:r>
    </w:p>
    <w:p w:rsidR="0087124E" w:rsidRPr="000D1441" w:rsidRDefault="0087124E" w:rsidP="0087124E">
      <w:pPr>
        <w:spacing w:after="120" w:line="276" w:lineRule="auto"/>
        <w:jc w:val="both"/>
        <w:rPr>
          <w:rFonts w:ascii="Times New Roman" w:eastAsia="Calibri" w:hAnsi="Times New Roman"/>
        </w:rPr>
      </w:pPr>
      <w:r w:rsidRPr="000D1441">
        <w:rPr>
          <w:rFonts w:ascii="Times New Roman" w:eastAsia="Calibri" w:hAnsi="Times New Roman"/>
        </w:rPr>
        <w:t xml:space="preserve">Wyłączenie z walidacji należy zadeklarować poprzez podanie w polu 44 zgłoszenia kodu informacji dodatkowej „0PL14”. Jeżeli jednak w konkretnych przypadkach mieszczących się w katalogu </w:t>
      </w:r>
      <w:proofErr w:type="spellStart"/>
      <w:r w:rsidRPr="000D1441">
        <w:rPr>
          <w:rFonts w:ascii="Times New Roman" w:eastAsia="Calibri" w:hAnsi="Times New Roman"/>
        </w:rPr>
        <w:t>wyłączeń</w:t>
      </w:r>
      <w:proofErr w:type="spellEnd"/>
      <w:r w:rsidRPr="000D1441">
        <w:rPr>
          <w:rFonts w:ascii="Times New Roman" w:eastAsia="Calibri" w:hAnsi="Times New Roman"/>
        </w:rPr>
        <w:t xml:space="preserve"> opisanych powyżej, powiązanie mocodawcy z przedstawicielem celnym jest odzwierciedlone w systemie SZPROT (powiązanie dokonane w ramach usługi e-Klient), to nie ma potrzeby używania kodu „0PL14”.</w:t>
      </w:r>
    </w:p>
    <w:p w:rsidR="0087124E" w:rsidRPr="000D1441" w:rsidRDefault="0087124E" w:rsidP="0087124E">
      <w:pPr>
        <w:spacing w:after="120" w:line="276" w:lineRule="auto"/>
        <w:jc w:val="both"/>
        <w:rPr>
          <w:rFonts w:ascii="Times New Roman" w:eastAsia="Calibri" w:hAnsi="Times New Roman"/>
        </w:rPr>
      </w:pPr>
      <w:r w:rsidRPr="000D1441">
        <w:rPr>
          <w:rFonts w:ascii="Times New Roman" w:eastAsia="Calibri" w:hAnsi="Times New Roman"/>
        </w:rPr>
        <w:t>Kodu „0PL14" nie podaje się w zbiorczych zgłoszeniach celnych, ponieważ zadeklarowanie w drugiej części pola 37 kodu „1PL” (w eksporcie) oznacza wyłączenie z walidacji ww. powiązań.</w:t>
      </w:r>
    </w:p>
    <w:p w:rsidR="0087124E" w:rsidRPr="000D1441" w:rsidRDefault="0087124E" w:rsidP="0087124E">
      <w:pPr>
        <w:spacing w:after="120" w:line="276" w:lineRule="auto"/>
        <w:jc w:val="both"/>
        <w:rPr>
          <w:rFonts w:ascii="Times New Roman" w:eastAsia="Calibri" w:hAnsi="Times New Roman"/>
          <w:color w:val="1F497D"/>
        </w:rPr>
      </w:pPr>
      <w:r w:rsidRPr="000D1441">
        <w:rPr>
          <w:rFonts w:ascii="Times New Roman" w:eastAsia="Calibri" w:hAnsi="Times New Roman"/>
        </w:rPr>
        <w:t>Odpowiedzialność za prawidłowość używania kodu „0PL14" w zgłoszeniach celnych ponosi osoba składająca zgłoszenie celne, zgodnie z art. 15 ust. 2 Unijnego Kodeksu Celnego.</w:t>
      </w:r>
      <w:r>
        <w:rPr>
          <w:rFonts w:ascii="Times New Roman" w:eastAsia="Calibri" w:hAnsi="Times New Roman"/>
        </w:rPr>
        <w:t>”;</w:t>
      </w:r>
    </w:p>
    <w:p w:rsidR="0087124E" w:rsidRPr="00D76F8C" w:rsidRDefault="0087124E" w:rsidP="0087124E">
      <w:pPr>
        <w:ind w:left="708"/>
        <w:rPr>
          <w:rFonts w:ascii="Times New Roman" w:hAnsi="Times New Roman"/>
          <w:b/>
        </w:rPr>
      </w:pPr>
    </w:p>
    <w:p w:rsidR="0087124E" w:rsidRPr="00D76F8C" w:rsidRDefault="0087124E" w:rsidP="0087124E">
      <w:pPr>
        <w:rPr>
          <w:rFonts w:ascii="Times New Roman" w:hAnsi="Times New Roman"/>
        </w:rPr>
      </w:pPr>
      <w:r w:rsidRPr="00D76F8C">
        <w:rPr>
          <w:rFonts w:ascii="Times New Roman" w:hAnsi="Times New Roman"/>
          <w:b/>
        </w:rPr>
        <w:t>„1PL15</w:t>
      </w:r>
      <w:r w:rsidRPr="00D76F8C">
        <w:rPr>
          <w:rFonts w:ascii="Times New Roman" w:hAnsi="Times New Roman"/>
        </w:rPr>
        <w:t xml:space="preserve"> – pozwolenie z mocą wsteczną w procedurach specjalnych (art. 211 ust. 2 UKC)”</w:t>
      </w:r>
      <w:r>
        <w:rPr>
          <w:rFonts w:ascii="Times New Roman" w:hAnsi="Times New Roman"/>
        </w:rPr>
        <w:t>;</w:t>
      </w:r>
    </w:p>
    <w:p w:rsidR="0087124E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  <w:b/>
        </w:rPr>
      </w:pPr>
      <w:r w:rsidRPr="00D76F8C">
        <w:rPr>
          <w:rFonts w:ascii="Times New Roman" w:hAnsi="Times New Roman"/>
          <w:b/>
        </w:rPr>
        <w:tab/>
      </w:r>
      <w:r w:rsidRPr="00D76F8C">
        <w:rPr>
          <w:rFonts w:ascii="Times New Roman" w:hAnsi="Times New Roman"/>
          <w:b/>
        </w:rPr>
        <w:tab/>
      </w:r>
    </w:p>
    <w:p w:rsidR="0087124E" w:rsidRPr="008B2D7F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r w:rsidRPr="00D76F8C">
        <w:rPr>
          <w:rFonts w:ascii="Times New Roman" w:hAnsi="Times New Roman"/>
          <w:b/>
        </w:rPr>
        <w:t xml:space="preserve">zmienia się nazwę kodu </w:t>
      </w:r>
      <w:r w:rsidRPr="008B2D7F">
        <w:rPr>
          <w:rFonts w:ascii="Times New Roman" w:hAnsi="Times New Roman"/>
        </w:rPr>
        <w:t>(str. 160):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jest: </w:t>
      </w:r>
      <w:r w:rsidRPr="00D76F8C">
        <w:rPr>
          <w:rFonts w:ascii="Times New Roman" w:hAnsi="Times New Roman"/>
        </w:rPr>
        <w:t xml:space="preserve">  „3PL15 – Fall </w:t>
      </w:r>
      <w:proofErr w:type="spellStart"/>
      <w:r w:rsidRPr="00D76F8C">
        <w:rPr>
          <w:rFonts w:ascii="Times New Roman" w:hAnsi="Times New Roman"/>
        </w:rPr>
        <w:t>Back</w:t>
      </w:r>
      <w:proofErr w:type="spellEnd"/>
      <w:r w:rsidRPr="00D76F8C">
        <w:rPr>
          <w:rFonts w:ascii="Times New Roman" w:hAnsi="Times New Roman"/>
        </w:rPr>
        <w:t>”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powinno być:  „3PL15 - FALLBACK”</w:t>
      </w:r>
      <w:r>
        <w:rPr>
          <w:rFonts w:ascii="Times New Roman" w:hAnsi="Times New Roman"/>
        </w:rPr>
        <w:t>.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</w:rPr>
      </w:pPr>
    </w:p>
    <w:p w:rsidR="0087124E" w:rsidRPr="003024BD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4. W</w:t>
      </w:r>
      <w:r w:rsidRPr="00D76F8C">
        <w:rPr>
          <w:rFonts w:ascii="Times New Roman" w:hAnsi="Times New Roman"/>
          <w:b/>
        </w:rPr>
        <w:t xml:space="preserve"> Części V</w:t>
      </w:r>
      <w:r w:rsidRPr="003024BD">
        <w:rPr>
          <w:rFonts w:ascii="Times New Roman" w:hAnsi="Times New Roman"/>
        </w:rPr>
        <w:t>:</w:t>
      </w:r>
    </w:p>
    <w:p w:rsidR="0087124E" w:rsidRDefault="0087124E" w:rsidP="0087124E">
      <w:pPr>
        <w:spacing w:after="120" w:line="264" w:lineRule="auto"/>
        <w:ind w:left="360" w:right="26"/>
        <w:jc w:val="both"/>
        <w:rPr>
          <w:rFonts w:ascii="Times New Roman" w:hAnsi="Times New Roman"/>
        </w:rPr>
      </w:pPr>
    </w:p>
    <w:p w:rsidR="0087124E" w:rsidRDefault="0087124E" w:rsidP="0087124E">
      <w:pPr>
        <w:spacing w:after="120" w:line="264" w:lineRule="auto"/>
        <w:ind w:left="360" w:right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Pr="00D76F8C">
        <w:rPr>
          <w:rFonts w:ascii="Times New Roman" w:hAnsi="Times New Roman"/>
        </w:rPr>
        <w:t>w Sekcji A</w:t>
      </w:r>
      <w:r>
        <w:rPr>
          <w:rFonts w:ascii="Times New Roman" w:hAnsi="Times New Roman"/>
        </w:rPr>
        <w:t>.</w:t>
      </w:r>
      <w:r w:rsidRPr="00D76F8C">
        <w:rPr>
          <w:rFonts w:ascii="Times New Roman" w:hAnsi="Times New Roman"/>
        </w:rPr>
        <w:t xml:space="preserve"> „Uwagi ogólne” </w:t>
      </w:r>
      <w:r w:rsidRPr="003024BD">
        <w:rPr>
          <w:rFonts w:ascii="Times New Roman" w:hAnsi="Times New Roman"/>
        </w:rPr>
        <w:t>wykreśla się</w:t>
      </w:r>
      <w:r w:rsidRPr="00D76F8C">
        <w:rPr>
          <w:rFonts w:ascii="Times New Roman" w:hAnsi="Times New Roman"/>
        </w:rPr>
        <w:t xml:space="preserve"> pierwszą uwagę </w:t>
      </w:r>
      <w:r>
        <w:rPr>
          <w:rFonts w:ascii="Times New Roman" w:hAnsi="Times New Roman"/>
        </w:rPr>
        <w:t xml:space="preserve">w brzmieniu </w:t>
      </w:r>
      <w:r w:rsidRPr="00D76F8C">
        <w:rPr>
          <w:rFonts w:ascii="Times New Roman" w:hAnsi="Times New Roman"/>
        </w:rPr>
        <w:t>(str. 189)</w:t>
      </w:r>
      <w:r>
        <w:rPr>
          <w:rFonts w:ascii="Times New Roman" w:hAnsi="Times New Roman"/>
        </w:rPr>
        <w:t>:</w:t>
      </w:r>
    </w:p>
    <w:p w:rsidR="0087124E" w:rsidRPr="003024BD" w:rsidRDefault="0087124E" w:rsidP="0087124E">
      <w:pPr>
        <w:widowControl w:val="0"/>
        <w:tabs>
          <w:tab w:val="left" w:pos="-360"/>
          <w:tab w:val="left" w:pos="1134"/>
          <w:tab w:val="left" w:pos="1701"/>
          <w:tab w:val="left" w:pos="2268"/>
        </w:tabs>
        <w:spacing w:after="120"/>
        <w:jc w:val="both"/>
        <w:rPr>
          <w:rFonts w:ascii="Times New Roman" w:hAnsi="Times New Roman"/>
          <w:b/>
        </w:rPr>
      </w:pPr>
      <w:r w:rsidRPr="003024BD">
        <w:rPr>
          <w:rFonts w:ascii="Times New Roman" w:hAnsi="Times New Roman"/>
          <w:b/>
        </w:rPr>
        <w:t>„Uwaga!</w:t>
      </w:r>
      <w:r w:rsidRPr="003024BD">
        <w:rPr>
          <w:rFonts w:ascii="Times New Roman" w:hAnsi="Times New Roman"/>
          <w:bCs/>
        </w:rPr>
        <w:t xml:space="preserve"> W Polsce w chwili obecnej brak jest możliwości stosowania instytucji składania zgłoszenia celnego przed przedstawieniem towaru przy formach procedury uproszczonej określonych wyżej przy kodach B i C - z tego też względu kody E i F nie mogą być umieszczane na formularzach SAD (kod „F” powinien być wpisany w Polu 1 jedynie w przypadku towarów, wywożonych luzem lub w jednostkach niestandardowych, o których mowa w art. 5 ust. 6 rozporządzenia Komisji (WE) nr 800/1999).”</w:t>
      </w:r>
    </w:p>
    <w:p w:rsidR="0087124E" w:rsidRPr="00D76F8C" w:rsidRDefault="0087124E" w:rsidP="0087124E">
      <w:pPr>
        <w:spacing w:after="120" w:line="264" w:lineRule="auto"/>
        <w:ind w:left="360" w:right="26"/>
        <w:jc w:val="both"/>
        <w:rPr>
          <w:rFonts w:ascii="Times New Roman" w:hAnsi="Times New Roman"/>
        </w:rPr>
      </w:pPr>
    </w:p>
    <w:p w:rsidR="0087124E" w:rsidRPr="00D76F8C" w:rsidRDefault="0087124E" w:rsidP="0087124E">
      <w:pPr>
        <w:spacing w:before="120" w:after="120" w:line="264" w:lineRule="auto"/>
        <w:ind w:right="28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Pr="00D76F8C">
        <w:rPr>
          <w:rFonts w:ascii="Times New Roman" w:hAnsi="Times New Roman"/>
        </w:rPr>
        <w:t xml:space="preserve">w Sekcji B pkt 1.1 (str. 190 – 191) </w:t>
      </w:r>
      <w:r w:rsidRPr="00B06929">
        <w:rPr>
          <w:rFonts w:ascii="Times New Roman" w:hAnsi="Times New Roman"/>
        </w:rPr>
        <w:t>otrzymuje brzmienie:</w:t>
      </w:r>
    </w:p>
    <w:p w:rsidR="0087124E" w:rsidRDefault="0087124E" w:rsidP="0087124E">
      <w:pPr>
        <w:spacing w:before="120" w:after="120" w:line="264" w:lineRule="auto"/>
        <w:ind w:right="28"/>
        <w:jc w:val="both"/>
        <w:rPr>
          <w:rFonts w:ascii="Times New Roman" w:hAnsi="Times New Roman"/>
          <w:b/>
        </w:rPr>
      </w:pPr>
    </w:p>
    <w:p w:rsidR="0087124E" w:rsidRPr="00D76F8C" w:rsidRDefault="0087124E" w:rsidP="0087124E">
      <w:pPr>
        <w:spacing w:before="120" w:after="120" w:line="264" w:lineRule="auto"/>
        <w:ind w:right="2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</w:t>
      </w:r>
      <w:r w:rsidRPr="00D76F8C">
        <w:rPr>
          <w:rFonts w:ascii="Times New Roman" w:hAnsi="Times New Roman"/>
          <w:b/>
        </w:rPr>
        <w:t>1.1 Zgłoszenie uproszczone w wywozie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eastAsia="Times New Roman" w:hAnsi="Times New Roman"/>
          <w:b/>
          <w:bCs/>
          <w:lang w:val="x-none" w:eastAsia="pl-PL"/>
        </w:rPr>
      </w:pPr>
      <w:r>
        <w:rPr>
          <w:rFonts w:ascii="Times New Roman" w:hAnsi="Times New Roman"/>
        </w:rPr>
        <w:t xml:space="preserve">Wypełnianie poszczególnych pól/atrybutów </w:t>
      </w:r>
      <w:r w:rsidRPr="00D76F8C">
        <w:rPr>
          <w:rFonts w:ascii="Times New Roman" w:hAnsi="Times New Roman"/>
        </w:rPr>
        <w:t xml:space="preserve">zgłoszeń uproszczonych w wywozie odbywa się </w:t>
      </w:r>
      <w:r>
        <w:rPr>
          <w:rFonts w:ascii="Times New Roman" w:hAnsi="Times New Roman"/>
        </w:rPr>
        <w:t xml:space="preserve">zgodnie z zasadami określonymi w II i IV Części niniejszej </w:t>
      </w:r>
      <w:r w:rsidRPr="006979E7">
        <w:rPr>
          <w:rFonts w:ascii="Times New Roman" w:hAnsi="Times New Roman"/>
          <w:i/>
        </w:rPr>
        <w:t>Instrukcji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z uwzględnieniem zasad</w:t>
      </w:r>
      <w:r w:rsidRPr="00D76F8C">
        <w:rPr>
          <w:rFonts w:ascii="Times New Roman" w:hAnsi="Times New Roman"/>
        </w:rPr>
        <w:t xml:space="preserve"> dotyczących obsługi zgłoszeń wywozowych w systemie AES.</w:t>
      </w:r>
      <w:r>
        <w:rPr>
          <w:rFonts w:ascii="Times New Roman" w:hAnsi="Times New Roman"/>
        </w:rPr>
        <w:t>”;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eastAsia="Times New Roman" w:hAnsi="Times New Roman"/>
          <w:b/>
          <w:bCs/>
          <w:iCs/>
        </w:rPr>
      </w:pPr>
    </w:p>
    <w:p w:rsidR="0087124E" w:rsidRPr="00D76F8C" w:rsidRDefault="0087124E" w:rsidP="0087124E">
      <w:pPr>
        <w:spacing w:after="120" w:line="264" w:lineRule="auto"/>
        <w:ind w:left="360" w:right="26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 xml:space="preserve">c) </w:t>
      </w:r>
      <w:r w:rsidRPr="00D76F8C">
        <w:rPr>
          <w:rFonts w:ascii="Times New Roman" w:eastAsia="Times New Roman" w:hAnsi="Times New Roman"/>
          <w:bCs/>
          <w:iCs/>
        </w:rPr>
        <w:t>w Sekcji B pkt 2.1 (str. 196</w:t>
      </w:r>
      <w:r>
        <w:rPr>
          <w:rFonts w:ascii="Times New Roman" w:eastAsia="Times New Roman" w:hAnsi="Times New Roman"/>
          <w:bCs/>
          <w:iCs/>
        </w:rPr>
        <w:t>-198</w:t>
      </w:r>
      <w:r w:rsidRPr="00D76F8C">
        <w:rPr>
          <w:rFonts w:ascii="Times New Roman" w:eastAsia="Times New Roman" w:hAnsi="Times New Roman"/>
          <w:bCs/>
          <w:iCs/>
        </w:rPr>
        <w:t xml:space="preserve">) </w:t>
      </w:r>
      <w:r w:rsidRPr="003024BD">
        <w:rPr>
          <w:rFonts w:ascii="Times New Roman" w:eastAsia="Times New Roman" w:hAnsi="Times New Roman"/>
          <w:bCs/>
          <w:iCs/>
        </w:rPr>
        <w:t>otrzymuje brzmienie: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eastAsia="Times New Roman" w:hAnsi="Times New Roman"/>
          <w:b/>
          <w:bCs/>
          <w:iCs/>
        </w:rPr>
      </w:pPr>
      <w:r>
        <w:rPr>
          <w:rFonts w:ascii="Times New Roman" w:eastAsia="Times New Roman" w:hAnsi="Times New Roman"/>
          <w:b/>
          <w:bCs/>
          <w:iCs/>
        </w:rPr>
        <w:t>„</w:t>
      </w:r>
      <w:r w:rsidRPr="00D76F8C">
        <w:rPr>
          <w:rFonts w:ascii="Times New Roman" w:eastAsia="Times New Roman" w:hAnsi="Times New Roman"/>
          <w:b/>
          <w:bCs/>
          <w:iCs/>
        </w:rPr>
        <w:t>2.1 Zgłoszenie uproszczone w wywozie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eastAsia="Times New Roman" w:hAnsi="Times New Roman"/>
          <w:b/>
          <w:bCs/>
          <w:lang w:val="x-none" w:eastAsia="pl-PL"/>
        </w:rPr>
      </w:pPr>
      <w:r>
        <w:rPr>
          <w:rFonts w:ascii="Times New Roman" w:hAnsi="Times New Roman"/>
        </w:rPr>
        <w:t xml:space="preserve">Wypełnianie poszczególnych pól/atrybutów </w:t>
      </w:r>
      <w:r w:rsidRPr="00D76F8C">
        <w:rPr>
          <w:rFonts w:ascii="Times New Roman" w:hAnsi="Times New Roman"/>
        </w:rPr>
        <w:t xml:space="preserve">zgłoszeń uproszczonych w wywozie odbywa się </w:t>
      </w:r>
      <w:r>
        <w:rPr>
          <w:rFonts w:ascii="Times New Roman" w:hAnsi="Times New Roman"/>
        </w:rPr>
        <w:t xml:space="preserve">zgodnie z zasadami określonymi w II i IV Części niniejszej </w:t>
      </w:r>
      <w:r w:rsidRPr="006979E7">
        <w:rPr>
          <w:rFonts w:ascii="Times New Roman" w:hAnsi="Times New Roman"/>
          <w:i/>
        </w:rPr>
        <w:t>Instrukcji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z uwzględnieniem zasad</w:t>
      </w:r>
      <w:r w:rsidRPr="00D76F8C">
        <w:rPr>
          <w:rFonts w:ascii="Times New Roman" w:hAnsi="Times New Roman"/>
        </w:rPr>
        <w:t xml:space="preserve"> dotyczących obsługi zgłoszeń wywozowych w systemie AES.</w:t>
      </w:r>
      <w:r>
        <w:rPr>
          <w:rFonts w:ascii="Times New Roman" w:hAnsi="Times New Roman"/>
        </w:rPr>
        <w:t>”;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eastAsia="Times New Roman" w:hAnsi="Times New Roman"/>
          <w:bCs/>
          <w:iCs/>
        </w:rPr>
      </w:pPr>
      <w:r w:rsidRPr="00D76F8C">
        <w:rPr>
          <w:rFonts w:ascii="Times New Roman" w:eastAsia="Times New Roman" w:hAnsi="Times New Roman"/>
          <w:bCs/>
          <w:iCs/>
        </w:rPr>
        <w:t xml:space="preserve">   </w:t>
      </w:r>
    </w:p>
    <w:p w:rsidR="0087124E" w:rsidRPr="00D76F8C" w:rsidRDefault="0087124E" w:rsidP="0087124E">
      <w:pPr>
        <w:spacing w:after="120" w:line="264" w:lineRule="auto"/>
        <w:ind w:left="360" w:right="26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 xml:space="preserve">d) </w:t>
      </w:r>
      <w:r w:rsidRPr="00D76F8C">
        <w:rPr>
          <w:rFonts w:ascii="Times New Roman" w:eastAsia="Times New Roman" w:hAnsi="Times New Roman"/>
          <w:bCs/>
          <w:iCs/>
        </w:rPr>
        <w:t xml:space="preserve">w Sekcji B w pkt 3.1 </w:t>
      </w:r>
      <w:r>
        <w:rPr>
          <w:rFonts w:ascii="Times New Roman" w:eastAsia="Times New Roman" w:hAnsi="Times New Roman"/>
          <w:bCs/>
          <w:iCs/>
        </w:rPr>
        <w:t xml:space="preserve">(str. 201-204) </w:t>
      </w:r>
      <w:r w:rsidRPr="00D76F8C">
        <w:rPr>
          <w:rFonts w:ascii="Times New Roman" w:eastAsia="Times New Roman" w:hAnsi="Times New Roman"/>
          <w:bCs/>
          <w:iCs/>
        </w:rPr>
        <w:t>wprowadza się następujące zmiany:</w:t>
      </w:r>
    </w:p>
    <w:p w:rsidR="0087124E" w:rsidRDefault="0087124E" w:rsidP="0087124E">
      <w:pPr>
        <w:spacing w:after="120" w:line="264" w:lineRule="auto"/>
        <w:ind w:left="644" w:right="26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</w:t>
      </w:r>
      <w:r w:rsidRPr="00D76F8C">
        <w:rPr>
          <w:rFonts w:ascii="Times New Roman" w:eastAsia="Times New Roman" w:hAnsi="Times New Roman"/>
          <w:bCs/>
          <w:iCs/>
        </w:rPr>
        <w:t xml:space="preserve"> </w:t>
      </w:r>
      <w:r>
        <w:rPr>
          <w:rFonts w:ascii="Times New Roman" w:eastAsia="Times New Roman" w:hAnsi="Times New Roman"/>
          <w:bCs/>
          <w:iCs/>
        </w:rPr>
        <w:t>czwarty akapit na str. 202 otrzymuje brzmienie:</w:t>
      </w:r>
    </w:p>
    <w:p w:rsidR="0087124E" w:rsidRPr="00D21566" w:rsidRDefault="0087124E" w:rsidP="0087124E">
      <w:pPr>
        <w:spacing w:after="120" w:line="264" w:lineRule="auto"/>
        <w:ind w:right="26"/>
        <w:jc w:val="both"/>
        <w:rPr>
          <w:rFonts w:ascii="Times New Roman" w:eastAsia="Times New Roman" w:hAnsi="Times New Roman"/>
          <w:bCs/>
          <w:iCs/>
        </w:rPr>
      </w:pPr>
      <w:r w:rsidRPr="00D21566">
        <w:rPr>
          <w:rFonts w:ascii="Times New Roman" w:hAnsi="Times New Roman"/>
          <w:bCs/>
        </w:rPr>
        <w:t xml:space="preserve">„Dokonywanie zgłoszeń celnych w procedurach wywozowych w systemie </w:t>
      </w:r>
      <w:r>
        <w:rPr>
          <w:rFonts w:ascii="Times New Roman" w:hAnsi="Times New Roman"/>
          <w:bCs/>
        </w:rPr>
        <w:t>AES</w:t>
      </w:r>
      <w:r w:rsidRPr="00D21566">
        <w:rPr>
          <w:rFonts w:ascii="Times New Roman" w:hAnsi="Times New Roman"/>
          <w:bCs/>
        </w:rPr>
        <w:t xml:space="preserve"> powinno odbywać się zgodnie z aktualną wersją </w:t>
      </w:r>
      <w:r w:rsidRPr="00D21566">
        <w:rPr>
          <w:rFonts w:ascii="Times New Roman" w:eastAsia="Times New Roman" w:hAnsi="Times New Roman"/>
          <w:bCs/>
          <w:iCs/>
        </w:rPr>
        <w:t xml:space="preserve">„Instrukcji w zakresie obsługi w Systemie AES” udostępnioną na stronie </w:t>
      </w:r>
      <w:hyperlink r:id="rId10" w:history="1">
        <w:r w:rsidRPr="00D21566">
          <w:rPr>
            <w:rStyle w:val="Hipercze"/>
            <w:rFonts w:ascii="Times New Roman" w:eastAsia="Times New Roman" w:hAnsi="Times New Roman"/>
            <w:bCs/>
            <w:iCs/>
          </w:rPr>
          <w:t>www.puesc.gov.pl</w:t>
        </w:r>
      </w:hyperlink>
      <w:r w:rsidRPr="00D21566">
        <w:rPr>
          <w:rFonts w:ascii="Times New Roman" w:eastAsia="Times New Roman" w:hAnsi="Times New Roman"/>
          <w:bCs/>
          <w:iCs/>
        </w:rPr>
        <w:t>”</w:t>
      </w:r>
      <w:r>
        <w:rPr>
          <w:rFonts w:ascii="Times New Roman" w:eastAsia="Times New Roman" w:hAnsi="Times New Roman"/>
          <w:bCs/>
          <w:iCs/>
        </w:rPr>
        <w:t>;</w:t>
      </w:r>
    </w:p>
    <w:p w:rsidR="0087124E" w:rsidRDefault="0087124E" w:rsidP="0087124E">
      <w:pPr>
        <w:pStyle w:val="Akapitzlist"/>
        <w:spacing w:after="120"/>
        <w:ind w:left="644"/>
        <w:jc w:val="both"/>
        <w:rPr>
          <w:bCs/>
        </w:rPr>
      </w:pPr>
      <w:r w:rsidRPr="00D21566">
        <w:rPr>
          <w:bCs/>
        </w:rPr>
        <w:t xml:space="preserve"> </w:t>
      </w:r>
    </w:p>
    <w:p w:rsidR="0087124E" w:rsidRPr="00D21566" w:rsidRDefault="0087124E" w:rsidP="0087124E">
      <w:pPr>
        <w:pStyle w:val="Akapitzlist"/>
        <w:spacing w:after="120"/>
        <w:ind w:left="644"/>
        <w:jc w:val="both"/>
        <w:rPr>
          <w:bCs/>
        </w:rPr>
      </w:pPr>
      <w:r>
        <w:rPr>
          <w:bCs/>
        </w:rPr>
        <w:t xml:space="preserve">- </w:t>
      </w:r>
      <w:r>
        <w:rPr>
          <w:rFonts w:ascii="Times New Roman" w:eastAsia="Times New Roman" w:hAnsi="Times New Roman"/>
          <w:bCs/>
          <w:iCs/>
        </w:rPr>
        <w:t>w lit. a)</w:t>
      </w:r>
      <w:r w:rsidRPr="00D76F8C">
        <w:rPr>
          <w:rFonts w:ascii="Times New Roman" w:eastAsia="Times New Roman" w:hAnsi="Times New Roman"/>
          <w:bCs/>
          <w:iCs/>
        </w:rPr>
        <w:t xml:space="preserve"> </w:t>
      </w:r>
      <w:r>
        <w:rPr>
          <w:rFonts w:ascii="Times New Roman" w:eastAsia="Times New Roman" w:hAnsi="Times New Roman"/>
          <w:bCs/>
          <w:iCs/>
        </w:rPr>
        <w:t>trzeci</w:t>
      </w:r>
      <w:r w:rsidRPr="00D76F8C">
        <w:rPr>
          <w:rFonts w:ascii="Times New Roman" w:eastAsia="Times New Roman" w:hAnsi="Times New Roman"/>
          <w:bCs/>
          <w:iCs/>
        </w:rPr>
        <w:t xml:space="preserve"> akapi</w:t>
      </w:r>
      <w:r>
        <w:rPr>
          <w:rFonts w:ascii="Times New Roman" w:eastAsia="Times New Roman" w:hAnsi="Times New Roman"/>
          <w:bCs/>
          <w:iCs/>
        </w:rPr>
        <w:t>t otrzymuje brzmienie:</w:t>
      </w:r>
    </w:p>
    <w:p w:rsidR="0087124E" w:rsidRDefault="0087124E" w:rsidP="0087124E">
      <w:pPr>
        <w:spacing w:after="120" w:line="264" w:lineRule="auto"/>
        <w:ind w:right="26"/>
        <w:jc w:val="both"/>
        <w:rPr>
          <w:rStyle w:val="Hipercze"/>
          <w:rFonts w:ascii="Times New Roman" w:eastAsia="Times New Roman" w:hAnsi="Times New Roman"/>
          <w:bCs/>
          <w:iCs/>
        </w:rPr>
      </w:pPr>
      <w:r w:rsidRPr="009E6591">
        <w:rPr>
          <w:rFonts w:ascii="Times New Roman" w:hAnsi="Times New Roman"/>
        </w:rPr>
        <w:t xml:space="preserve">„Składanie zgłoszeń uzupełniających w procedurach wywozowych odbywa się zgodnie z aktualną wersją </w:t>
      </w:r>
      <w:r w:rsidRPr="009E6591">
        <w:rPr>
          <w:rFonts w:ascii="Times New Roman" w:eastAsia="Times New Roman" w:hAnsi="Times New Roman"/>
          <w:bCs/>
          <w:iCs/>
        </w:rPr>
        <w:t>„Instrukcji w zakresie obsługi w Systemie AES” udostępnion</w:t>
      </w:r>
      <w:r>
        <w:rPr>
          <w:rFonts w:ascii="Times New Roman" w:eastAsia="Times New Roman" w:hAnsi="Times New Roman"/>
          <w:bCs/>
          <w:iCs/>
        </w:rPr>
        <w:t>ą</w:t>
      </w:r>
      <w:r w:rsidRPr="009E6591">
        <w:rPr>
          <w:rFonts w:ascii="Times New Roman" w:eastAsia="Times New Roman" w:hAnsi="Times New Roman"/>
          <w:bCs/>
          <w:iCs/>
        </w:rPr>
        <w:t xml:space="preserve"> na stronie </w:t>
      </w:r>
      <w:hyperlink r:id="rId11" w:history="1">
        <w:r w:rsidRPr="009E6591">
          <w:rPr>
            <w:rStyle w:val="Hipercze"/>
            <w:rFonts w:ascii="Times New Roman" w:eastAsia="Times New Roman" w:hAnsi="Times New Roman"/>
            <w:bCs/>
            <w:iCs/>
          </w:rPr>
          <w:t>www.puesc.gov.pl</w:t>
        </w:r>
      </w:hyperlink>
      <w:r w:rsidRPr="009E6591">
        <w:rPr>
          <w:rStyle w:val="Hipercze"/>
          <w:rFonts w:ascii="Times New Roman" w:eastAsia="Times New Roman" w:hAnsi="Times New Roman"/>
          <w:bCs/>
          <w:iCs/>
        </w:rPr>
        <w:t>”;</w:t>
      </w:r>
    </w:p>
    <w:p w:rsidR="0087124E" w:rsidRPr="009E6591" w:rsidRDefault="0087124E" w:rsidP="0087124E">
      <w:pPr>
        <w:spacing w:after="120" w:line="264" w:lineRule="auto"/>
        <w:ind w:right="26"/>
        <w:jc w:val="both"/>
        <w:rPr>
          <w:rFonts w:ascii="Times New Roman" w:eastAsia="Times New Roman" w:hAnsi="Times New Roman"/>
          <w:bCs/>
          <w:iCs/>
        </w:rPr>
      </w:pPr>
    </w:p>
    <w:p w:rsidR="0087124E" w:rsidRPr="009E6591" w:rsidRDefault="0087124E" w:rsidP="0087124E">
      <w:pPr>
        <w:spacing w:after="120"/>
        <w:ind w:firstLine="720"/>
        <w:jc w:val="both"/>
      </w:pPr>
      <w:r>
        <w:t xml:space="preserve">- </w:t>
      </w:r>
      <w:r>
        <w:rPr>
          <w:rFonts w:ascii="Times New Roman" w:eastAsia="Times New Roman" w:hAnsi="Times New Roman"/>
          <w:bCs/>
          <w:iCs/>
        </w:rPr>
        <w:t>lit. c)</w:t>
      </w:r>
      <w:r w:rsidRPr="00D76F8C">
        <w:rPr>
          <w:rFonts w:ascii="Times New Roman" w:eastAsia="Times New Roman" w:hAnsi="Times New Roman"/>
          <w:bCs/>
          <w:iCs/>
        </w:rPr>
        <w:t xml:space="preserve"> </w:t>
      </w:r>
      <w:r>
        <w:rPr>
          <w:rFonts w:ascii="Times New Roman" w:eastAsia="Times New Roman" w:hAnsi="Times New Roman"/>
          <w:bCs/>
          <w:iCs/>
        </w:rPr>
        <w:t>czwarty</w:t>
      </w:r>
      <w:r w:rsidRPr="00D76F8C">
        <w:rPr>
          <w:rFonts w:ascii="Times New Roman" w:eastAsia="Times New Roman" w:hAnsi="Times New Roman"/>
          <w:bCs/>
          <w:iCs/>
        </w:rPr>
        <w:t xml:space="preserve"> akapi</w:t>
      </w:r>
      <w:r>
        <w:rPr>
          <w:rFonts w:ascii="Times New Roman" w:eastAsia="Times New Roman" w:hAnsi="Times New Roman"/>
          <w:bCs/>
          <w:iCs/>
        </w:rPr>
        <w:t>t otrzymuje brzmienie</w:t>
      </w:r>
      <w:r w:rsidRPr="00D76F8C">
        <w:rPr>
          <w:rFonts w:ascii="Times New Roman" w:eastAsia="Times New Roman" w:hAnsi="Times New Roman"/>
          <w:bCs/>
          <w:iCs/>
        </w:rPr>
        <w:t>:</w:t>
      </w:r>
    </w:p>
    <w:p w:rsidR="0087124E" w:rsidRDefault="0087124E" w:rsidP="0087124E">
      <w:pPr>
        <w:spacing w:after="120" w:line="264" w:lineRule="auto"/>
        <w:ind w:right="26"/>
        <w:jc w:val="both"/>
        <w:rPr>
          <w:rStyle w:val="Hipercze"/>
          <w:rFonts w:ascii="Times New Roman" w:eastAsia="Times New Roman" w:hAnsi="Times New Roman"/>
          <w:bCs/>
          <w:iCs/>
        </w:rPr>
      </w:pPr>
      <w:r>
        <w:rPr>
          <w:rFonts w:ascii="Times New Roman" w:hAnsi="Times New Roman"/>
        </w:rPr>
        <w:t>„</w:t>
      </w:r>
      <w:r w:rsidRPr="009E6591">
        <w:rPr>
          <w:rFonts w:ascii="Times New Roman" w:hAnsi="Times New Roman"/>
        </w:rPr>
        <w:t>W przypadku wystąpienia awarii systemu lub awarii aplikacji zgłaszającego albo systemu w urzędzie celnym wywozu</w:t>
      </w:r>
      <w:r w:rsidRPr="009E6591">
        <w:rPr>
          <w:rFonts w:ascii="Times New Roman" w:hAnsi="Times New Roman"/>
          <w:b/>
          <w:bCs/>
        </w:rPr>
        <w:t xml:space="preserve"> </w:t>
      </w:r>
      <w:r w:rsidRPr="009E6591">
        <w:rPr>
          <w:rFonts w:ascii="Times New Roman" w:hAnsi="Times New Roman"/>
        </w:rPr>
        <w:t xml:space="preserve">posiadacz pozwolenia postępuje w sposób określony w aktualnie </w:t>
      </w:r>
      <w:r w:rsidRPr="009E6591">
        <w:rPr>
          <w:rFonts w:ascii="Times New Roman" w:hAnsi="Times New Roman"/>
        </w:rPr>
        <w:lastRenderedPageBreak/>
        <w:t xml:space="preserve">obowiązującej </w:t>
      </w:r>
      <w:r w:rsidRPr="009E6591">
        <w:rPr>
          <w:rFonts w:ascii="Times New Roman" w:eastAsia="Times New Roman" w:hAnsi="Times New Roman"/>
          <w:bCs/>
          <w:iCs/>
        </w:rPr>
        <w:t xml:space="preserve">„Instrukcji w zakresie obsługi w Systemie AES” udostępnionej na stronie </w:t>
      </w:r>
      <w:hyperlink r:id="rId12" w:history="1">
        <w:r w:rsidRPr="009E6591">
          <w:rPr>
            <w:rStyle w:val="Hipercze"/>
            <w:rFonts w:ascii="Times New Roman" w:eastAsia="Times New Roman" w:hAnsi="Times New Roman"/>
            <w:bCs/>
            <w:iCs/>
          </w:rPr>
          <w:t>www.puesc.gov.pl</w:t>
        </w:r>
      </w:hyperlink>
      <w:r w:rsidRPr="009E6591">
        <w:rPr>
          <w:rStyle w:val="Hipercze"/>
          <w:rFonts w:ascii="Times New Roman" w:eastAsia="Times New Roman" w:hAnsi="Times New Roman"/>
          <w:bCs/>
          <w:iCs/>
        </w:rPr>
        <w:t>”;</w:t>
      </w:r>
    </w:p>
    <w:p w:rsidR="0087124E" w:rsidRPr="009E6591" w:rsidRDefault="0087124E" w:rsidP="0087124E">
      <w:pPr>
        <w:spacing w:after="120" w:line="264" w:lineRule="auto"/>
        <w:ind w:right="26"/>
        <w:jc w:val="both"/>
        <w:rPr>
          <w:rFonts w:ascii="Times New Roman" w:eastAsia="Times New Roman" w:hAnsi="Times New Roman"/>
          <w:bCs/>
          <w:iCs/>
        </w:rPr>
      </w:pPr>
    </w:p>
    <w:p w:rsidR="0087124E" w:rsidRDefault="0087124E" w:rsidP="0087124E">
      <w:pPr>
        <w:spacing w:after="120" w:line="264" w:lineRule="auto"/>
        <w:ind w:right="26" w:firstLine="644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 xml:space="preserve">- </w:t>
      </w:r>
      <w:r w:rsidRPr="00D76F8C">
        <w:rPr>
          <w:rFonts w:ascii="Times New Roman" w:eastAsia="Times New Roman" w:hAnsi="Times New Roman"/>
          <w:bCs/>
          <w:iCs/>
        </w:rPr>
        <w:t xml:space="preserve">w lit. c) </w:t>
      </w:r>
      <w:r>
        <w:rPr>
          <w:rFonts w:ascii="Times New Roman" w:eastAsia="Times New Roman" w:hAnsi="Times New Roman"/>
          <w:bCs/>
          <w:iCs/>
        </w:rPr>
        <w:t>w dziewiątym akapicie pierwsze zdanie otrzymuje brzmienie:</w:t>
      </w:r>
    </w:p>
    <w:p w:rsidR="0087124E" w:rsidRPr="009E6591" w:rsidRDefault="0087124E" w:rsidP="0087124E">
      <w:pPr>
        <w:spacing w:after="120" w:line="264" w:lineRule="auto"/>
        <w:ind w:right="26"/>
        <w:jc w:val="both"/>
        <w:rPr>
          <w:rFonts w:ascii="Times New Roman" w:eastAsia="Times New Roman" w:hAnsi="Times New Roman"/>
          <w:bCs/>
          <w:iCs/>
        </w:rPr>
      </w:pPr>
      <w:r w:rsidRPr="009E6591">
        <w:rPr>
          <w:rFonts w:ascii="Times New Roman" w:hAnsi="Times New Roman"/>
        </w:rPr>
        <w:t xml:space="preserve">„W okresie rozliczeniowym zgłaszający przedstawia w UWU karty 1 i 2 ESS.  Zaleca się wraz z dokumentem ESS dostarczyć do UWU na nośniku zewnętrznym zgłoszenie wywozowe </w:t>
      </w:r>
      <w:r w:rsidRPr="009E6591">
        <w:rPr>
          <w:rFonts w:ascii="Times New Roman" w:eastAsia="Times New Roman" w:hAnsi="Times New Roman"/>
          <w:bCs/>
          <w:iCs/>
        </w:rPr>
        <w:t>podpisane elektronicznie</w:t>
      </w:r>
      <w:r w:rsidRPr="009E6591">
        <w:rPr>
          <w:rFonts w:ascii="Times New Roman" w:hAnsi="Times New Roman"/>
        </w:rPr>
        <w:t>, co usprawni proces wprowadzania zgłoszenia do aplikacji AES.”.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eastAsia="Times New Roman" w:hAnsi="Times New Roman"/>
          <w:b/>
          <w:bCs/>
          <w:iCs/>
        </w:rPr>
      </w:pP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W Części VI</w:t>
      </w:r>
      <w:r w:rsidRPr="009E6591">
        <w:rPr>
          <w:rFonts w:ascii="Times New Roman" w:hAnsi="Times New Roman"/>
        </w:rPr>
        <w:t>:</w:t>
      </w:r>
    </w:p>
    <w:p w:rsidR="0087124E" w:rsidRPr="00D76F8C" w:rsidRDefault="0087124E" w:rsidP="0087124E">
      <w:pPr>
        <w:spacing w:after="120" w:line="264" w:lineRule="auto"/>
        <w:ind w:right="26"/>
        <w:jc w:val="both"/>
        <w:rPr>
          <w:rFonts w:ascii="Times New Roman" w:eastAsia="Times New Roman" w:hAnsi="Times New Roman"/>
          <w:b/>
          <w:bCs/>
          <w:iCs/>
        </w:rPr>
      </w:pPr>
      <w:r w:rsidRPr="00D76F8C">
        <w:rPr>
          <w:rFonts w:ascii="Times New Roman" w:hAnsi="Times New Roman"/>
          <w:b/>
        </w:rPr>
        <w:t xml:space="preserve">1) </w:t>
      </w:r>
      <w:r w:rsidRPr="00D76F8C">
        <w:rPr>
          <w:rFonts w:ascii="Times New Roman" w:hAnsi="Times New Roman"/>
        </w:rPr>
        <w:t xml:space="preserve">w przypadku szczególnym nr 20 w opisie kodu 0PL06 (str. 240), w pkt 1 </w:t>
      </w:r>
      <w:r>
        <w:rPr>
          <w:rFonts w:ascii="Times New Roman" w:hAnsi="Times New Roman"/>
        </w:rPr>
        <w:t xml:space="preserve">ostatnie zdanie </w:t>
      </w:r>
      <w:r w:rsidRPr="00D76F8C">
        <w:rPr>
          <w:rFonts w:ascii="Times New Roman" w:hAnsi="Times New Roman"/>
        </w:rPr>
        <w:t>w przedostatnim akapicie otrzymuje brzmienie:</w:t>
      </w:r>
    </w:p>
    <w:p w:rsidR="0087124E" w:rsidRPr="00D76F8C" w:rsidRDefault="0087124E" w:rsidP="0087124E">
      <w:pPr>
        <w:rPr>
          <w:rFonts w:ascii="Times New Roman" w:eastAsia="Times New Roman" w:hAnsi="Times New Roman"/>
          <w:color w:val="000080"/>
        </w:rPr>
      </w:pPr>
      <w:r w:rsidRPr="00D76F8C">
        <w:rPr>
          <w:rFonts w:ascii="Times New Roman" w:eastAsia="Times New Roman" w:hAnsi="Times New Roman"/>
        </w:rPr>
        <w:t xml:space="preserve">„Kody organów celnych można znaleźć </w:t>
      </w:r>
      <w:r>
        <w:rPr>
          <w:rFonts w:ascii="Times New Roman" w:eastAsia="Times New Roman" w:hAnsi="Times New Roman"/>
        </w:rPr>
        <w:t>na „Liście urzędów celnych” dostępnej na stronie Komisji Europejskiej pod adresem:</w:t>
      </w:r>
      <w:r w:rsidRPr="00D76F8C">
        <w:rPr>
          <w:rFonts w:ascii="Times New Roman" w:eastAsia="Times New Roman" w:hAnsi="Times New Roman"/>
        </w:rPr>
        <w:t xml:space="preserve"> </w:t>
      </w:r>
      <w:hyperlink r:id="rId13" w:tooltip="http://ec.europa.eu/taxation_customs/dds2/col/col_home.jsp?Lang=pl&amp;Screen=0" w:history="1">
        <w:r w:rsidRPr="00D76F8C">
          <w:rPr>
            <w:rFonts w:ascii="Times New Roman" w:eastAsia="Times New Roman" w:hAnsi="Times New Roman"/>
            <w:color w:val="0000FF"/>
            <w:u w:val="single"/>
          </w:rPr>
          <w:t>http://ec.europa.eu/taxation_customs/dds2/col/col_home.jsp?Lang=pl&amp;Screen=0</w:t>
        </w:r>
      </w:hyperlink>
      <w:r w:rsidRPr="00E0092F">
        <w:rPr>
          <w:rFonts w:ascii="Times New Roman" w:eastAsia="Times New Roman" w:hAnsi="Times New Roman"/>
          <w:u w:val="single"/>
        </w:rPr>
        <w:t>”</w:t>
      </w:r>
      <w:r>
        <w:rPr>
          <w:rFonts w:ascii="Times New Roman" w:eastAsia="Times New Roman" w:hAnsi="Times New Roman"/>
          <w:u w:val="single"/>
        </w:rPr>
        <w:t>.</w:t>
      </w:r>
    </w:p>
    <w:p w:rsidR="0087124E" w:rsidRPr="00D76F8C" w:rsidRDefault="0087124E" w:rsidP="0087124E">
      <w:pPr>
        <w:tabs>
          <w:tab w:val="left" w:pos="540"/>
        </w:tabs>
        <w:ind w:left="357"/>
        <w:jc w:val="both"/>
        <w:rPr>
          <w:rFonts w:ascii="Times New Roman" w:eastAsia="Times New Roman" w:hAnsi="Times New Roman"/>
        </w:rPr>
      </w:pPr>
    </w:p>
    <w:p w:rsidR="0087124E" w:rsidRDefault="0087124E" w:rsidP="0087124E">
      <w:pPr>
        <w:tabs>
          <w:tab w:val="left" w:pos="540"/>
        </w:tabs>
        <w:jc w:val="both"/>
        <w:rPr>
          <w:rFonts w:ascii="Times New Roman" w:eastAsia="Times New Roman" w:hAnsi="Times New Roman"/>
        </w:rPr>
      </w:pPr>
    </w:p>
    <w:p w:rsidR="0087124E" w:rsidRDefault="0087124E" w:rsidP="0087124E">
      <w:pPr>
        <w:tabs>
          <w:tab w:val="left" w:pos="540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6</w:t>
      </w:r>
      <w:r w:rsidRPr="00E0092F">
        <w:rPr>
          <w:rFonts w:ascii="Times New Roman" w:eastAsia="Times New Roman" w:hAnsi="Times New Roman"/>
          <w:b/>
        </w:rPr>
        <w:t>.</w:t>
      </w:r>
      <w:r w:rsidRPr="00D76F8C">
        <w:rPr>
          <w:rFonts w:ascii="Times New Roman" w:eastAsia="Times New Roman" w:hAnsi="Times New Roman"/>
        </w:rPr>
        <w:t xml:space="preserve"> </w:t>
      </w:r>
      <w:r w:rsidRPr="00D76F8C">
        <w:rPr>
          <w:rFonts w:ascii="Times New Roman" w:eastAsia="Times New Roman" w:hAnsi="Times New Roman"/>
          <w:b/>
        </w:rPr>
        <w:t>W Części IX</w:t>
      </w:r>
      <w:r>
        <w:rPr>
          <w:rFonts w:ascii="Times New Roman" w:eastAsia="Times New Roman" w:hAnsi="Times New Roman"/>
          <w:b/>
        </w:rPr>
        <w:t>,</w:t>
      </w:r>
      <w:r w:rsidRPr="00D76F8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Sekcja A </w:t>
      </w:r>
      <w:r w:rsidRPr="00D76F8C">
        <w:rPr>
          <w:rFonts w:ascii="Times New Roman" w:eastAsia="Times New Roman" w:hAnsi="Times New Roman"/>
        </w:rPr>
        <w:t>(str. 255 – 256)</w:t>
      </w:r>
      <w:r>
        <w:rPr>
          <w:rFonts w:ascii="Times New Roman" w:eastAsia="Times New Roman" w:hAnsi="Times New Roman"/>
        </w:rPr>
        <w:t xml:space="preserve"> otrzymuje następujące brzmienie:</w:t>
      </w:r>
    </w:p>
    <w:p w:rsidR="0087124E" w:rsidRDefault="0087124E" w:rsidP="0087124E">
      <w:pPr>
        <w:tabs>
          <w:tab w:val="left" w:pos="540"/>
        </w:tabs>
        <w:jc w:val="both"/>
        <w:rPr>
          <w:rFonts w:ascii="Times New Roman" w:eastAsia="Times New Roman" w:hAnsi="Times New Roman"/>
        </w:rPr>
      </w:pPr>
    </w:p>
    <w:p w:rsidR="0087124E" w:rsidRPr="00D76F8C" w:rsidRDefault="0087124E" w:rsidP="0087124E">
      <w:pPr>
        <w:jc w:val="both"/>
        <w:rPr>
          <w:rFonts w:ascii="Times New Roman" w:hAnsi="Times New Roman"/>
          <w:b/>
        </w:rPr>
      </w:pPr>
      <w:r w:rsidRPr="00D76F8C">
        <w:rPr>
          <w:rFonts w:ascii="Times New Roman" w:hAnsi="Times New Roman"/>
          <w:b/>
        </w:rPr>
        <w:t>„A. Powiadomienie o powrotnym wywozie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 xml:space="preserve">Do czasu  uruchomienia docelowego systemu AES obsługującego procedurę wywozu i inne dokumenty związane z wyprowadzaniem towaru zgodnie z UKC, powiadomienie o powrotnym wywozie będzie obsługiwane na zasadach krajowych (art. 54 </w:t>
      </w:r>
      <w:r w:rsidRPr="00A2081E">
        <w:t>przejściowego rozporządzenia delegowanego</w:t>
      </w:r>
      <w:r w:rsidRPr="00D76F8C">
        <w:rPr>
          <w:rFonts w:ascii="Times New Roman" w:hAnsi="Times New Roman"/>
        </w:rPr>
        <w:t xml:space="preserve">), tj.: </w:t>
      </w:r>
    </w:p>
    <w:p w:rsidR="0087124E" w:rsidRPr="00E0092F" w:rsidRDefault="0087124E" w:rsidP="0087124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E0092F">
        <w:rPr>
          <w:rFonts w:ascii="Times New Roman" w:hAnsi="Times New Roman"/>
        </w:rPr>
        <w:t>z wykorzystaniem papierowego formularza SAD, albo</w:t>
      </w:r>
    </w:p>
    <w:p w:rsidR="0087124E" w:rsidRPr="00E0092F" w:rsidRDefault="0087124E" w:rsidP="0087124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E0092F">
        <w:rPr>
          <w:rFonts w:ascii="Times New Roman" w:hAnsi="Times New Roman"/>
        </w:rPr>
        <w:t xml:space="preserve">z wykorzystaniem elektronicznego zgłoszenia do powrotnego wywozu w </w:t>
      </w:r>
      <w:r>
        <w:rPr>
          <w:rFonts w:ascii="Times New Roman" w:hAnsi="Times New Roman"/>
        </w:rPr>
        <w:t>AES</w:t>
      </w:r>
      <w:r w:rsidRPr="00E0092F">
        <w:rPr>
          <w:rFonts w:ascii="Times New Roman" w:hAnsi="Times New Roman"/>
        </w:rPr>
        <w:t>.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Wybór formy powiadomienia pozostaje w gestii  składającego.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</w:p>
    <w:p w:rsidR="0087124E" w:rsidRPr="00E0092F" w:rsidRDefault="0087124E" w:rsidP="0087124E">
      <w:pPr>
        <w:spacing w:after="120"/>
        <w:ind w:left="360"/>
        <w:jc w:val="both"/>
        <w:rPr>
          <w:rFonts w:ascii="Times New Roman" w:hAnsi="Times New Roman"/>
          <w:b/>
        </w:rPr>
      </w:pPr>
      <w:r w:rsidRPr="00E0092F">
        <w:rPr>
          <w:rFonts w:ascii="Times New Roman" w:hAnsi="Times New Roman"/>
          <w:b/>
        </w:rPr>
        <w:t>1. Powiadomienie składane z wykorzystaniem papierowych formularzy SAD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 xml:space="preserve">Powiadomienie o powrotnym wywozie z wykorzystaniem papierowych formularzy SAD składane jest przy użyciu kart 1, 2 i 3. 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Karta 1 ma być przechowywana przez urząd, w którym złożono powiadomienie o powrotnym wywozie.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Karta 2 jest przeznaczona dla celów statystycznych.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Karta 3 po poświadczeniu przez urząd, o którym mowa w art. 329 ust. 9 rozporządzenia wykonawczego, jest zwracana składającemu powiadomienie o powrotnym wywozie.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Odnośnie zakresu danych do powiadomienia składanego z wykorzystaniem papierowych formularzy SAD oraz sposobu wypełniania poszczególnych pól stosuje się wprost przepisy unijne, tj. Załącznik B do RD kolumna A3.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Zakres danych przedstawia się następująco: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lastRenderedPageBreak/>
        <w:t>Pole 3 – liczba formularzy powiadomienia w formie papierowej,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Pole 6 – liczba opakowań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Pole 7 - numer referencyjny (LRN)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 xml:space="preserve">Pole 14 – dane zgłaszającego/przedstawiciela (numer identyfikacyjny zgłaszającego, przedstawiciela (o ile występuje), kod statusu przedstawiciela); 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Pole 29 – urząd wyprowadzenia,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Pole 30 - lokalizacja towarów,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Pole 31 - numer identyfikacyjny kontenera,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Pole 32 – numer pozycji towarowej,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Pole 40 – zgłoszenie uproszczone/poprzednie dokumenty,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Pole 44 - Dodatkowe informacje, w tym numer EORI przewoźnika lub niepowtarzalny numer  identyfikacyjny przewoźnika w państwie trzecim oraz numer EORI lub niepowtarzalny numer identyfikacyjny dodatkowych uczestników łańcucha dostaw, przedstawione dokumenty, świadectwa i pozwolenia, dodatkowe odniesienia; w tym polu należy też podać kod informacji dodatkowej „3PL25” oznaczający powiadomienie o powrotnym wywozie (art. 274 UKC).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 xml:space="preserve">Pole 54 - Podpis   </w:t>
      </w:r>
    </w:p>
    <w:p w:rsidR="0087124E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 xml:space="preserve">Pola należy wypełnić zgodnie z zasadami wypełniania analogicznie jak dla zgłoszenia wywozowego, zgodnie z opisem poszczególnych pól w niniejszej </w:t>
      </w:r>
      <w:r w:rsidRPr="00D560D1">
        <w:rPr>
          <w:rFonts w:ascii="Times New Roman" w:hAnsi="Times New Roman"/>
          <w:i/>
        </w:rPr>
        <w:t>Instrukcji</w:t>
      </w:r>
      <w:r>
        <w:rPr>
          <w:rFonts w:ascii="Times New Roman" w:hAnsi="Times New Roman"/>
        </w:rPr>
        <w:t>.</w:t>
      </w:r>
    </w:p>
    <w:p w:rsidR="0087124E" w:rsidRDefault="0087124E" w:rsidP="0087124E">
      <w:pPr>
        <w:spacing w:after="120"/>
        <w:jc w:val="both"/>
        <w:rPr>
          <w:rFonts w:ascii="Times New Roman" w:hAnsi="Times New Roman"/>
        </w:rPr>
      </w:pPr>
    </w:p>
    <w:p w:rsidR="0087124E" w:rsidRPr="00E0092F" w:rsidRDefault="0087124E" w:rsidP="0087124E">
      <w:pPr>
        <w:spacing w:after="120"/>
        <w:jc w:val="both"/>
        <w:rPr>
          <w:rFonts w:ascii="Times New Roman" w:hAnsi="Times New Roman"/>
          <w:b/>
        </w:rPr>
      </w:pPr>
      <w:bookmarkStart w:id="0" w:name="_GoBack"/>
      <w:bookmarkEnd w:id="0"/>
      <w:r w:rsidRPr="00E0092F">
        <w:rPr>
          <w:rFonts w:ascii="Times New Roman" w:hAnsi="Times New Roman"/>
          <w:b/>
        </w:rPr>
        <w:t xml:space="preserve">2. Powiadomienie składane z wykorzystaniem elektronicznego zgłoszenia do powrotnego wywozu 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W przypadku składania powiadomienia z wykorzystaniem zgłoszenia do powrotnego wywozu w systemie AES w Polu 44 należy podać kod informacji dodatkowej „3PL25” oznaczający powiadomienie o powrotnym wywozie (art. 274 UKC).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W pozostałym zakresie, tj.</w:t>
      </w:r>
    </w:p>
    <w:p w:rsidR="0087124E" w:rsidRPr="00D76F8C" w:rsidRDefault="0087124E" w:rsidP="0087124E">
      <w:pPr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- zakres danych,</w:t>
      </w:r>
    </w:p>
    <w:p w:rsidR="0087124E" w:rsidRPr="00D76F8C" w:rsidRDefault="0087124E" w:rsidP="0087124E">
      <w:pPr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- sposób wypełniania pól zgłoszenia,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>- zasady ewidencjonowania</w:t>
      </w:r>
    </w:p>
    <w:p w:rsidR="0087124E" w:rsidRPr="00D76F8C" w:rsidRDefault="0087124E" w:rsidP="0087124E">
      <w:pPr>
        <w:spacing w:after="120"/>
        <w:jc w:val="both"/>
        <w:rPr>
          <w:rFonts w:ascii="Times New Roman" w:hAnsi="Times New Roman"/>
        </w:rPr>
      </w:pPr>
      <w:r w:rsidRPr="00D76F8C">
        <w:rPr>
          <w:rFonts w:ascii="Times New Roman" w:hAnsi="Times New Roman"/>
        </w:rPr>
        <w:t xml:space="preserve">stosuje się zasady jak dla </w:t>
      </w:r>
      <w:r>
        <w:rPr>
          <w:rFonts w:ascii="Times New Roman" w:hAnsi="Times New Roman"/>
        </w:rPr>
        <w:t>zgłoszeń do powrotnego wywozu.”.</w:t>
      </w:r>
    </w:p>
    <w:p w:rsidR="0087124E" w:rsidRPr="00D76F8C" w:rsidRDefault="0087124E" w:rsidP="0087124E">
      <w:pPr>
        <w:tabs>
          <w:tab w:val="left" w:pos="540"/>
        </w:tabs>
        <w:ind w:left="357"/>
        <w:jc w:val="both"/>
        <w:rPr>
          <w:rFonts w:ascii="Times New Roman" w:eastAsia="Times New Roman" w:hAnsi="Times New Roman"/>
        </w:rPr>
      </w:pPr>
    </w:p>
    <w:p w:rsidR="0087124E" w:rsidRPr="00D76F8C" w:rsidRDefault="0087124E" w:rsidP="0087124E">
      <w:pPr>
        <w:tabs>
          <w:tab w:val="left" w:pos="540"/>
        </w:tabs>
        <w:ind w:left="357"/>
        <w:jc w:val="both"/>
        <w:rPr>
          <w:rFonts w:ascii="Times New Roman" w:eastAsia="Times New Roman" w:hAnsi="Times New Roman"/>
        </w:rPr>
      </w:pPr>
    </w:p>
    <w:p w:rsidR="0087124E" w:rsidRDefault="0087124E" w:rsidP="0087124E">
      <w:pPr>
        <w:tabs>
          <w:tab w:val="left" w:pos="540"/>
        </w:tabs>
        <w:jc w:val="both"/>
        <w:rPr>
          <w:rFonts w:ascii="Times New Roman" w:eastAsia="Times New Roman" w:hAnsi="Times New Roman"/>
        </w:rPr>
      </w:pPr>
      <w:r w:rsidRPr="00313CEC">
        <w:rPr>
          <w:rFonts w:ascii="Times New Roman" w:eastAsia="Times New Roman" w:hAnsi="Times New Roman"/>
          <w:b/>
        </w:rPr>
        <w:t>7</w:t>
      </w:r>
      <w:r>
        <w:rPr>
          <w:rFonts w:ascii="Times New Roman" w:eastAsia="Times New Roman" w:hAnsi="Times New Roman"/>
          <w:b/>
        </w:rPr>
        <w:t xml:space="preserve">. W Części X, </w:t>
      </w:r>
      <w:r w:rsidRPr="00D76F8C">
        <w:rPr>
          <w:rFonts w:ascii="Times New Roman" w:eastAsia="Times New Roman" w:hAnsi="Times New Roman"/>
        </w:rPr>
        <w:t xml:space="preserve"> w dan</w:t>
      </w:r>
      <w:r>
        <w:rPr>
          <w:rFonts w:ascii="Times New Roman" w:eastAsia="Times New Roman" w:hAnsi="Times New Roman"/>
        </w:rPr>
        <w:t>ej „Nadawca/eksporter” (str. 274</w:t>
      </w:r>
      <w:r w:rsidRPr="00D76F8C">
        <w:rPr>
          <w:rFonts w:ascii="Times New Roman" w:eastAsia="Times New Roman" w:hAnsi="Times New Roman"/>
        </w:rPr>
        <w:t>) drugi akapit otrzymuje brzmienie:</w:t>
      </w:r>
    </w:p>
    <w:p w:rsidR="0087124E" w:rsidRPr="00D76F8C" w:rsidRDefault="0087124E" w:rsidP="0087124E">
      <w:pPr>
        <w:tabs>
          <w:tab w:val="left" w:pos="540"/>
        </w:tabs>
        <w:jc w:val="both"/>
        <w:rPr>
          <w:rFonts w:ascii="Times New Roman" w:eastAsia="Times New Roman" w:hAnsi="Times New Roman"/>
        </w:rPr>
      </w:pPr>
    </w:p>
    <w:p w:rsidR="0087124E" w:rsidRPr="00D76F8C" w:rsidRDefault="0087124E" w:rsidP="0087124E">
      <w:pPr>
        <w:jc w:val="both"/>
        <w:rPr>
          <w:rFonts w:ascii="Times New Roman" w:eastAsia="Times New Roman" w:hAnsi="Times New Roman"/>
        </w:rPr>
      </w:pPr>
      <w:r w:rsidRPr="00D76F8C">
        <w:rPr>
          <w:rFonts w:ascii="Times New Roman" w:eastAsia="Times New Roman" w:hAnsi="Times New Roman"/>
        </w:rPr>
        <w:t xml:space="preserve">„Należy podać numer EORI, o którym mowa w art. 1 ust. 18 rozporządzenia delegowanego (UE) 2015/2446. Jeżeli nadawca/eksporter nie posiada numeru EORI, </w:t>
      </w:r>
      <w:r w:rsidRPr="00D560D1">
        <w:rPr>
          <w:rFonts w:ascii="Times New Roman" w:eastAsia="Times New Roman" w:hAnsi="Times New Roman"/>
        </w:rPr>
        <w:t>organ celny</w:t>
      </w:r>
      <w:r w:rsidRPr="00D76F8C">
        <w:rPr>
          <w:rFonts w:ascii="Times New Roman" w:eastAsia="Times New Roman" w:hAnsi="Times New Roman"/>
        </w:rPr>
        <w:t xml:space="preserve"> nadaje mu go przy pierwszej czynności z zakresu przepisów celnych.”;</w:t>
      </w:r>
    </w:p>
    <w:p w:rsidR="0087124E" w:rsidRPr="00D76F8C" w:rsidRDefault="0087124E" w:rsidP="0087124E">
      <w:pPr>
        <w:tabs>
          <w:tab w:val="left" w:pos="540"/>
        </w:tabs>
        <w:ind w:left="357"/>
        <w:jc w:val="both"/>
        <w:rPr>
          <w:rFonts w:ascii="Times New Roman" w:eastAsia="Times New Roman" w:hAnsi="Times New Roman"/>
        </w:rPr>
      </w:pPr>
    </w:p>
    <w:p w:rsidR="007B671B" w:rsidRDefault="0087124E" w:rsidP="000528BD">
      <w:pPr>
        <w:widowControl w:val="0"/>
        <w:tabs>
          <w:tab w:val="left" w:pos="709"/>
          <w:tab w:val="left" w:pos="1134"/>
          <w:tab w:val="left" w:pos="1701"/>
          <w:tab w:val="left" w:pos="2268"/>
        </w:tabs>
        <w:spacing w:after="120" w:line="264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Opisane wyżej zmiany </w:t>
      </w:r>
      <w:r w:rsidRPr="00313CEC">
        <w:rPr>
          <w:rFonts w:ascii="Times New Roman" w:eastAsia="Times New Roman" w:hAnsi="Times New Roman"/>
          <w:i/>
          <w:lang w:eastAsia="pl-PL"/>
        </w:rPr>
        <w:t>Instrukcji</w:t>
      </w:r>
      <w:r w:rsidRPr="00313CEC">
        <w:rPr>
          <w:rFonts w:ascii="Times New Roman" w:eastAsia="Times New Roman" w:hAnsi="Times New Roman"/>
          <w:lang w:eastAsia="pl-PL"/>
        </w:rPr>
        <w:t xml:space="preserve"> </w:t>
      </w:r>
      <w:r w:rsidRPr="00313CEC">
        <w:rPr>
          <w:rFonts w:ascii="Times New Roman" w:eastAsia="Times New Roman" w:hAnsi="Times New Roman"/>
          <w:b/>
          <w:lang w:eastAsia="pl-PL"/>
        </w:rPr>
        <w:t xml:space="preserve">wchodzą w życie </w:t>
      </w:r>
      <w:r w:rsidRPr="00D560D1">
        <w:rPr>
          <w:rFonts w:ascii="Times New Roman" w:eastAsia="Times New Roman" w:hAnsi="Times New Roman"/>
          <w:lang w:eastAsia="pl-PL"/>
        </w:rPr>
        <w:t>z dniem</w:t>
      </w:r>
      <w:r w:rsidRPr="00313CEC">
        <w:rPr>
          <w:rFonts w:ascii="Times New Roman" w:eastAsia="Times New Roman" w:hAnsi="Times New Roman"/>
          <w:b/>
          <w:lang w:eastAsia="pl-PL"/>
        </w:rPr>
        <w:t xml:space="preserve"> </w:t>
      </w:r>
      <w:r w:rsidRPr="00313CEC">
        <w:rPr>
          <w:rFonts w:ascii="Times New Roman" w:eastAsia="Times New Roman" w:hAnsi="Times New Roman"/>
          <w:lang w:eastAsia="pl-PL"/>
        </w:rPr>
        <w:t>uruchomienia Automatycznego Systemu Eksportu (AES)</w:t>
      </w:r>
      <w:r w:rsidRPr="00313CEC">
        <w:rPr>
          <w:rFonts w:ascii="Times New Roman" w:eastAsia="Times New Roman" w:hAnsi="Times New Roman"/>
          <w:b/>
          <w:lang w:eastAsia="pl-PL"/>
        </w:rPr>
        <w:t xml:space="preserve">, tj. </w:t>
      </w:r>
      <w:r>
        <w:rPr>
          <w:rFonts w:ascii="Times New Roman" w:eastAsia="Times New Roman" w:hAnsi="Times New Roman"/>
          <w:b/>
          <w:lang w:eastAsia="pl-PL"/>
        </w:rPr>
        <w:t xml:space="preserve">z dniem </w:t>
      </w:r>
      <w:r w:rsidRPr="00313CEC">
        <w:rPr>
          <w:rFonts w:ascii="Times New Roman" w:eastAsia="Times New Roman" w:hAnsi="Times New Roman"/>
          <w:b/>
          <w:lang w:eastAsia="pl-PL"/>
        </w:rPr>
        <w:t xml:space="preserve">2 listopada 2017 r. </w:t>
      </w:r>
    </w:p>
    <w:sectPr w:rsidR="007B671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70" w:rsidRDefault="00E06070" w:rsidP="00D77654">
      <w:r>
        <w:separator/>
      </w:r>
    </w:p>
  </w:endnote>
  <w:endnote w:type="continuationSeparator" w:id="0">
    <w:p w:rsidR="00E06070" w:rsidRDefault="00E06070" w:rsidP="00D7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089388"/>
      <w:docPartObj>
        <w:docPartGallery w:val="Page Numbers (Bottom of Page)"/>
        <w:docPartUnique/>
      </w:docPartObj>
    </w:sdtPr>
    <w:sdtContent>
      <w:p w:rsidR="00D77654" w:rsidRDefault="00D776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8BD">
          <w:rPr>
            <w:noProof/>
          </w:rPr>
          <w:t>5</w:t>
        </w:r>
        <w:r>
          <w:fldChar w:fldCharType="end"/>
        </w:r>
      </w:p>
    </w:sdtContent>
  </w:sdt>
  <w:p w:rsidR="00D77654" w:rsidRDefault="00D776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70" w:rsidRDefault="00E06070" w:rsidP="00D77654">
      <w:r>
        <w:separator/>
      </w:r>
    </w:p>
  </w:footnote>
  <w:footnote w:type="continuationSeparator" w:id="0">
    <w:p w:rsidR="00E06070" w:rsidRDefault="00E06070" w:rsidP="00D7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6F14"/>
    <w:multiLevelType w:val="hybridMultilevel"/>
    <w:tmpl w:val="43C2E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E4CAD"/>
    <w:multiLevelType w:val="hybridMultilevel"/>
    <w:tmpl w:val="BA96B2C6"/>
    <w:lvl w:ilvl="0" w:tplc="CE960F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4E"/>
    <w:rsid w:val="000528BD"/>
    <w:rsid w:val="000D42CC"/>
    <w:rsid w:val="0087124E"/>
    <w:rsid w:val="00D77654"/>
    <w:rsid w:val="00E06070"/>
    <w:rsid w:val="00E4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24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12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12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77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654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7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654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24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12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124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77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654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7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654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esc.gov.pl" TargetMode="External"/><Relationship Id="rId13" Type="http://schemas.openxmlformats.org/officeDocument/2006/relationships/hyperlink" Target="http://ec.europa.eu/taxation_customs/dds2/col/col_home.jsp?Lang=pl&amp;Screen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uesc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uesc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es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taxation_customs/dds2/col/col_home.jsp?Lang=pl&amp;Screen=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Wasilewska Marzena</dc:creator>
  <cp:lastModifiedBy>Wasilewska Marzena</cp:lastModifiedBy>
  <cp:revision>3</cp:revision>
  <dcterms:created xsi:type="dcterms:W3CDTF">2017-10-30T11:38:00Z</dcterms:created>
  <dcterms:modified xsi:type="dcterms:W3CDTF">2017-10-30T11:46:00Z</dcterms:modified>
</cp:coreProperties>
</file>