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7E" w:rsidRPr="007A0F4A" w:rsidRDefault="000326B3" w:rsidP="00670D7E">
      <w:pPr>
        <w:spacing w:before="240" w:after="0" w:line="240" w:lineRule="auto"/>
        <w:jc w:val="right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7A0F4A">
        <w:rPr>
          <w:rFonts w:ascii="Times New Roman" w:eastAsia="Times New Roman" w:hAnsi="Times New Roman" w:cs="Arial"/>
          <w:b/>
          <w:lang w:eastAsia="pl-PL"/>
        </w:rPr>
        <w:t>Załącznik nr 2</w:t>
      </w:r>
    </w:p>
    <w:p w:rsidR="00670D7E" w:rsidRPr="007A0F4A" w:rsidRDefault="00670D7E" w:rsidP="00670D7E">
      <w:pPr>
        <w:spacing w:before="120" w:after="120" w:line="240" w:lineRule="auto"/>
        <w:jc w:val="center"/>
        <w:rPr>
          <w:rFonts w:ascii="Times New Roman" w:eastAsia="Times New Roman" w:hAnsi="Times New Roman" w:cs="Arial"/>
          <w:lang w:eastAsia="pl-PL"/>
        </w:rPr>
      </w:pPr>
    </w:p>
    <w:p w:rsidR="00670D7E" w:rsidRDefault="00670D7E" w:rsidP="00670D7E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313295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</w:p>
    <w:p w:rsidR="00670D7E" w:rsidRDefault="00670D7E" w:rsidP="00670D7E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E02537" w:rsidRPr="008925FE" w:rsidRDefault="00E02537" w:rsidP="00670D7E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276C27" w:rsidRDefault="00276C27" w:rsidP="00276C27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:rsidR="00276C27" w:rsidRDefault="00276C27" w:rsidP="00276C27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:rsidR="00276C27" w:rsidRDefault="00276C27" w:rsidP="00276C27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:rsidR="00E02537" w:rsidRDefault="00E02537" w:rsidP="00E02537">
      <w:pPr>
        <w:spacing w:before="120" w:after="12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E02537" w:rsidRPr="00E02537" w:rsidRDefault="00E02537" w:rsidP="00E02537">
      <w:pPr>
        <w:spacing w:before="120" w:after="12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:rsidR="00E02537" w:rsidRPr="00DB2B1E" w:rsidRDefault="00E02537" w:rsidP="00EE49B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0D7E" w:rsidRPr="00DB2B1E" w:rsidRDefault="00670D7E" w:rsidP="00670D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670D7E" w:rsidRPr="00DB2B1E" w:rsidRDefault="00670D7E" w:rsidP="00670D7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 wydanie rolnikowi</w:t>
      </w:r>
      <w:r w:rsidRPr="008C77F9">
        <w:rPr>
          <w:rFonts w:ascii="Times New Roman" w:eastAsia="Times New Roman" w:hAnsi="Times New Roman" w:cs="Times New Roman"/>
          <w:bCs/>
          <w:vertAlign w:val="superscript"/>
          <w:lang w:eastAsia="pl-PL"/>
        </w:rPr>
        <w:t>1)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 zezwolenia na prowadzenie składu podatkowego, w którym zgodnie z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ustawą z dnia 25 sierpnia 2006 r. o biokomponentach i biopaliwach ciekłych (Dz.</w:t>
      </w:r>
      <w:r w:rsidR="001600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U. z 20</w:t>
      </w:r>
      <w:r w:rsidR="00F5073C">
        <w:rPr>
          <w:rFonts w:ascii="Times New Roman" w:eastAsia="Times New Roman" w:hAnsi="Times New Roman" w:cs="Times New Roman"/>
          <w:b/>
          <w:bCs/>
          <w:lang w:eastAsia="pl-PL"/>
        </w:rPr>
        <w:t>17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 r. poz.</w:t>
      </w:r>
      <w:r w:rsidR="001600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5073C">
        <w:rPr>
          <w:rFonts w:ascii="Times New Roman" w:eastAsia="Times New Roman" w:hAnsi="Times New Roman" w:cs="Times New Roman"/>
          <w:b/>
          <w:bCs/>
          <w:lang w:eastAsia="pl-PL"/>
        </w:rPr>
        <w:t>285</w:t>
      </w:r>
      <w:r w:rsidR="004C2E17">
        <w:rPr>
          <w:rFonts w:ascii="Times New Roman" w:eastAsia="Calibri" w:hAnsi="Times New Roman" w:cs="Times New Roman"/>
          <w:b/>
          <w:color w:val="000000"/>
        </w:rPr>
        <w:t xml:space="preserve">, z </w:t>
      </w:r>
      <w:proofErr w:type="spellStart"/>
      <w:r w:rsidR="004C2E17">
        <w:rPr>
          <w:rFonts w:ascii="Times New Roman" w:eastAsia="Calibri" w:hAnsi="Times New Roman" w:cs="Times New Roman"/>
          <w:b/>
          <w:color w:val="000000"/>
        </w:rPr>
        <w:t>późn</w:t>
      </w:r>
      <w:proofErr w:type="spellEnd"/>
      <w:r w:rsidR="004C2E17">
        <w:rPr>
          <w:rFonts w:ascii="Times New Roman" w:eastAsia="Calibri" w:hAnsi="Times New Roman" w:cs="Times New Roman"/>
          <w:b/>
          <w:color w:val="000000"/>
        </w:rPr>
        <w:t>. zm.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) będą wykonywane wyłącznie czynności polegające na wytwarzaniu na własny użytek estru lub czystego oleju roślinnego, o których mowa w art. 2 ust.</w:t>
      </w:r>
      <w:r w:rsidR="001600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1 pkt 11 lit. c tej ustawy</w:t>
      </w:r>
    </w:p>
    <w:p w:rsidR="00670D7E" w:rsidRDefault="00670D7E" w:rsidP="007A0F4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>ten stanowi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jednocześnie </w:t>
      </w:r>
      <w:r w:rsidRPr="00DB2B1E">
        <w:rPr>
          <w:rFonts w:ascii="Times New Roman" w:eastAsia="Times New Roman" w:hAnsi="Times New Roman" w:cs="Times New Roman"/>
          <w:b/>
          <w:lang w:eastAsia="pl-PL"/>
        </w:rPr>
        <w:t>zgłoszenie, o który</w:t>
      </w:r>
      <w:r>
        <w:rPr>
          <w:rFonts w:ascii="Times New Roman" w:eastAsia="Times New Roman" w:hAnsi="Times New Roman" w:cs="Times New Roman"/>
          <w:b/>
          <w:lang w:eastAsia="pl-PL"/>
        </w:rPr>
        <w:t>m</w:t>
      </w:r>
      <w:r w:rsidRPr="00DB2B1E">
        <w:rPr>
          <w:rFonts w:ascii="Times New Roman" w:eastAsia="Times New Roman" w:hAnsi="Times New Roman" w:cs="Times New Roman"/>
          <w:b/>
          <w:lang w:eastAsia="pl-PL"/>
        </w:rPr>
        <w:t xml:space="preserve"> mowa </w:t>
      </w:r>
      <w:r w:rsidR="00AF4BED" w:rsidRPr="00A7622A">
        <w:rPr>
          <w:rFonts w:ascii="Times New Roman" w:eastAsia="Times New Roman" w:hAnsi="Times New Roman" w:cs="Times New Roman"/>
          <w:b/>
          <w:lang w:eastAsia="pl-PL"/>
        </w:rPr>
        <w:t xml:space="preserve">art. </w:t>
      </w:r>
      <w:r w:rsidR="00AF4BED" w:rsidRPr="00CA55F1">
        <w:rPr>
          <w:rFonts w:ascii="Times New Roman" w:eastAsia="Times New Roman" w:hAnsi="Times New Roman" w:cs="Times New Roman"/>
          <w:b/>
          <w:lang w:eastAsia="pl-PL"/>
        </w:rPr>
        <w:t>10</w:t>
      </w:r>
      <w:r w:rsidR="00CE1FA6">
        <w:rPr>
          <w:rFonts w:ascii="Times New Roman" w:eastAsia="Times New Roman" w:hAnsi="Times New Roman" w:cs="Times New Roman"/>
          <w:b/>
          <w:lang w:eastAsia="pl-PL"/>
        </w:rPr>
        <w:t>8</w:t>
      </w:r>
      <w:r w:rsidR="00AF4BED">
        <w:rPr>
          <w:rFonts w:ascii="Times New Roman" w:eastAsia="Times New Roman" w:hAnsi="Times New Roman" w:cs="Times New Roman"/>
          <w:b/>
          <w:lang w:eastAsia="pl-PL"/>
        </w:rPr>
        <w:t xml:space="preserve"> ust. 2</w:t>
      </w:r>
      <w:r w:rsidR="00AF4BED" w:rsidRPr="00CA55F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F4BED" w:rsidRPr="00CA55F1">
        <w:rPr>
          <w:rFonts w:ascii="Times New Roman" w:eastAsia="Calibri" w:hAnsi="Times New Roman" w:cs="Times New Roman"/>
          <w:b/>
          <w:color w:val="000000"/>
        </w:rPr>
        <w:t xml:space="preserve">ustawy z dnia </w:t>
      </w:r>
      <w:r w:rsidR="000B0F0B">
        <w:rPr>
          <w:rFonts w:ascii="Times New Roman" w:eastAsia="Calibri" w:hAnsi="Times New Roman" w:cs="Times New Roman"/>
          <w:b/>
          <w:color w:val="000000"/>
        </w:rPr>
        <w:t>16</w:t>
      </w:r>
      <w:r w:rsidR="0094380F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0B0F0B">
        <w:rPr>
          <w:rFonts w:ascii="Times New Roman" w:eastAsia="Calibri" w:hAnsi="Times New Roman" w:cs="Times New Roman"/>
          <w:b/>
          <w:color w:val="000000"/>
        </w:rPr>
        <w:t>listopada</w:t>
      </w:r>
      <w:r w:rsidR="0094380F">
        <w:rPr>
          <w:rFonts w:ascii="Times New Roman" w:eastAsia="Calibri" w:hAnsi="Times New Roman" w:cs="Times New Roman"/>
          <w:b/>
          <w:color w:val="000000"/>
        </w:rPr>
        <w:t xml:space="preserve"> 2016 r. </w:t>
      </w:r>
      <w:r w:rsidR="00AF4BED" w:rsidRPr="00CA55F1">
        <w:rPr>
          <w:rFonts w:ascii="Times New Roman" w:eastAsia="Calibri" w:hAnsi="Times New Roman" w:cs="Times New Roman"/>
          <w:b/>
          <w:color w:val="000000"/>
        </w:rPr>
        <w:t>o</w:t>
      </w:r>
      <w:r w:rsidR="00AF4BED">
        <w:rPr>
          <w:rFonts w:ascii="Times New Roman" w:eastAsia="Calibri" w:hAnsi="Times New Roman" w:cs="Times New Roman"/>
          <w:b/>
          <w:color w:val="000000"/>
        </w:rPr>
        <w:t> </w:t>
      </w:r>
      <w:r w:rsidR="00AF4BED" w:rsidRPr="00CA55F1">
        <w:rPr>
          <w:rFonts w:ascii="Times New Roman" w:eastAsia="Calibri" w:hAnsi="Times New Roman" w:cs="Times New Roman"/>
          <w:b/>
          <w:color w:val="000000"/>
        </w:rPr>
        <w:t>Krajowej Administ</w:t>
      </w:r>
      <w:r w:rsidR="00AF4BED">
        <w:rPr>
          <w:rFonts w:ascii="Times New Roman" w:eastAsia="Calibri" w:hAnsi="Times New Roman" w:cs="Times New Roman"/>
          <w:b/>
          <w:color w:val="000000"/>
        </w:rPr>
        <w:t xml:space="preserve">racji Skarbowej (Dz. U. </w:t>
      </w:r>
      <w:r w:rsidR="004001FA">
        <w:rPr>
          <w:rFonts w:ascii="Times New Roman" w:eastAsia="Calibri" w:hAnsi="Times New Roman" w:cs="Times New Roman"/>
          <w:b/>
          <w:color w:val="000000"/>
        </w:rPr>
        <w:t xml:space="preserve">z 2018 r. </w:t>
      </w:r>
      <w:r w:rsidR="00AF4BED">
        <w:rPr>
          <w:rFonts w:ascii="Times New Roman" w:eastAsia="Calibri" w:hAnsi="Times New Roman" w:cs="Times New Roman"/>
          <w:b/>
          <w:color w:val="000000"/>
        </w:rPr>
        <w:t>poz.</w:t>
      </w:r>
      <w:r w:rsidR="00920CFB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001FA">
        <w:rPr>
          <w:rFonts w:ascii="Times New Roman" w:eastAsia="Calibri" w:hAnsi="Times New Roman" w:cs="Times New Roman"/>
          <w:b/>
          <w:color w:val="000000"/>
        </w:rPr>
        <w:t>508</w:t>
      </w:r>
      <w:r w:rsidR="00614550">
        <w:rPr>
          <w:rFonts w:ascii="Times New Roman" w:eastAsia="Calibri" w:hAnsi="Times New Roman" w:cs="Times New Roman"/>
          <w:b/>
          <w:color w:val="000000"/>
        </w:rPr>
        <w:t xml:space="preserve">, z </w:t>
      </w:r>
      <w:proofErr w:type="spellStart"/>
      <w:r w:rsidR="00614550">
        <w:rPr>
          <w:rFonts w:ascii="Times New Roman" w:eastAsia="Calibri" w:hAnsi="Times New Roman" w:cs="Times New Roman"/>
          <w:b/>
          <w:color w:val="000000"/>
        </w:rPr>
        <w:t>późn</w:t>
      </w:r>
      <w:proofErr w:type="spellEnd"/>
      <w:r w:rsidR="00614550">
        <w:rPr>
          <w:rFonts w:ascii="Times New Roman" w:eastAsia="Calibri" w:hAnsi="Times New Roman" w:cs="Times New Roman"/>
          <w:b/>
          <w:color w:val="000000"/>
        </w:rPr>
        <w:t>. zm.</w:t>
      </w:r>
      <w:r w:rsidR="00AF4BED">
        <w:rPr>
          <w:rFonts w:ascii="Times New Roman" w:eastAsia="Calibri" w:hAnsi="Times New Roman" w:cs="Times New Roman"/>
          <w:b/>
          <w:color w:val="000000"/>
        </w:rPr>
        <w:t>).</w:t>
      </w:r>
    </w:p>
    <w:p w:rsidR="00670D7E" w:rsidRPr="00DB2B1E" w:rsidRDefault="00670D7E" w:rsidP="00670D7E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1. Imię i nazwisko lub nazwa wnioskodawcy</w:t>
      </w:r>
      <w:r w:rsidRPr="00DB2B1E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DB2B1E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DB2B1E" w:rsidRDefault="00670D7E" w:rsidP="00670D7E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2. Adres zamieszkania lub siedziby wnioskodawcy oraz dane kontaktowe</w:t>
      </w:r>
      <w:r w:rsidRPr="00DB2B1E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DB2B1E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Kraj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Województwo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Powiat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Gmina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Ulica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DB2B1E">
        <w:rPr>
          <w:rFonts w:ascii="Times New Roman" w:eastAsia="Calibri" w:hAnsi="Times New Roman" w:cs="Times New Roman"/>
        </w:rPr>
        <w:t xml:space="preserve">.... </w:t>
      </w:r>
      <w:r w:rsidRPr="00DB2B1E">
        <w:rPr>
          <w:rStyle w:val="labelpodpis"/>
          <w:rFonts w:ascii="Times New Roman" w:eastAsia="Calibri" w:hAnsi="Times New Roman" w:cs="Times New Roman"/>
        </w:rPr>
        <w:t>Nr domu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Nr lokalu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Miejscowość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Kod pocztowy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670D7E" w:rsidRPr="008D7EF2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D7EF2">
        <w:rPr>
          <w:rFonts w:ascii="Times New Roman" w:eastAsia="Calibri" w:hAnsi="Times New Roman" w:cs="Times New Roman"/>
        </w:rPr>
        <w:t>Poczta</w:t>
      </w:r>
      <w:r w:rsidR="00B56DF7">
        <w:rPr>
          <w:rFonts w:ascii="Times New Roman" w:eastAsia="Times New Roman" w:hAnsi="Times New Roman" w:cs="Times New Roman"/>
          <w:lang w:eastAsia="pl-PL"/>
        </w:rPr>
        <w:t>*</w:t>
      </w:r>
      <w:r w:rsidRPr="008D7EF2">
        <w:rPr>
          <w:rFonts w:ascii="Times New Roman" w:eastAsia="Times New Roman" w:hAnsi="Times New Roman" w:cs="Times New Roman"/>
          <w:lang w:eastAsia="pl-PL"/>
        </w:rPr>
        <w:t>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8D7EF2">
        <w:rPr>
          <w:rFonts w:ascii="Times New Roman" w:eastAsia="Calibri" w:hAnsi="Times New Roman" w:cs="Times New Roman"/>
        </w:rPr>
        <w:t>.. Adres e-mail</w:t>
      </w:r>
      <w:r w:rsidRPr="008D7EF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eastAsia="Calibri" w:hAnsi="Times New Roman" w:cs="Times New Roman"/>
        </w:rPr>
        <w:t>Telefon*.</w:t>
      </w:r>
      <w:r w:rsidRPr="008D7EF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 </w:t>
      </w:r>
      <w:r w:rsidRPr="008D7EF2"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>Faks*</w:t>
      </w:r>
      <w:r w:rsidRPr="008D7EF2">
        <w:rPr>
          <w:rFonts w:ascii="Times New Roman" w:eastAsia="Times New Roman" w:hAnsi="Times New Roman" w:cs="Times New Roman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8D7EF2">
        <w:rPr>
          <w:rFonts w:ascii="Times New Roman" w:eastAsia="Times New Roman" w:hAnsi="Times New Roman" w:cs="Times New Roman"/>
          <w:lang w:eastAsia="pl-PL"/>
        </w:rPr>
        <w:t xml:space="preserve">..................  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3. Adres do korespondencji oraz dane kontaktowe, o ile są inne niż wskazane w pkt 2:</w:t>
      </w:r>
    </w:p>
    <w:p w:rsidR="00670D7E" w:rsidRPr="00DB2B1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Kraj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Województwo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DB2B1E">
        <w:rPr>
          <w:rStyle w:val="labelpodpis"/>
          <w:rFonts w:ascii="Times New Roman" w:eastAsia="Calibri" w:hAnsi="Times New Roman" w:cs="Times New Roman"/>
        </w:rPr>
        <w:t>Powiat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Gmina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Ulica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DB2B1E">
        <w:rPr>
          <w:rFonts w:ascii="Times New Roman" w:eastAsia="Calibri" w:hAnsi="Times New Roman" w:cs="Times New Roman"/>
        </w:rPr>
        <w:t xml:space="preserve">.... </w:t>
      </w:r>
      <w:r w:rsidRPr="00DB2B1E">
        <w:rPr>
          <w:rStyle w:val="labelpodpis"/>
          <w:rFonts w:ascii="Times New Roman" w:eastAsia="Calibri" w:hAnsi="Times New Roman" w:cs="Times New Roman"/>
        </w:rPr>
        <w:t>Nr domu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Nr lokalu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Miejscowość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Kod pocztowy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670D7E" w:rsidRDefault="00670D7E" w:rsidP="00F56525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EA52E3">
        <w:rPr>
          <w:rFonts w:ascii="Times New Roman" w:eastAsia="Calibri" w:hAnsi="Times New Roman" w:cs="Times New Roman"/>
        </w:rPr>
        <w:t>Poczta</w:t>
      </w:r>
      <w:r w:rsidR="00B56DF7">
        <w:rPr>
          <w:rFonts w:ascii="Times New Roman" w:eastAsia="Calibri" w:hAnsi="Times New Roman" w:cs="Times New Roman"/>
        </w:rPr>
        <w:t>*</w:t>
      </w:r>
      <w:r w:rsidRPr="00EA52E3">
        <w:rPr>
          <w:rFonts w:ascii="Times New Roman" w:eastAsia="Times New Roman" w:hAnsi="Times New Roman" w:cs="Times New Roman"/>
          <w:lang w:eastAsia="pl-PL"/>
        </w:rPr>
        <w:t>.......................................</w:t>
      </w:r>
      <w:r w:rsidRPr="00EA52E3">
        <w:rPr>
          <w:rFonts w:ascii="Times New Roman" w:eastAsia="Calibri" w:hAnsi="Times New Roman" w:cs="Times New Roman"/>
        </w:rPr>
        <w:t>... Adres e-mail</w:t>
      </w:r>
      <w:r w:rsidRPr="00EA52E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  <w:r w:rsidR="00B56DF7">
        <w:rPr>
          <w:rFonts w:ascii="Times New Roman" w:eastAsia="Times New Roman" w:hAnsi="Times New Roman" w:cs="Times New Roman"/>
          <w:lang w:eastAsia="pl-PL"/>
        </w:rPr>
        <w:t>.</w:t>
      </w:r>
      <w:r w:rsidRPr="00EA52E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Calibri" w:hAnsi="Times New Roman" w:cs="Times New Roman"/>
        </w:rPr>
        <w:t>Telefon</w:t>
      </w:r>
      <w:r w:rsidRPr="00EA52E3">
        <w:rPr>
          <w:rFonts w:ascii="Times New Roman" w:eastAsia="Calibri" w:hAnsi="Times New Roman" w:cs="Times New Roman"/>
        </w:rPr>
        <w:t>*</w:t>
      </w:r>
      <w:r w:rsidRPr="00EA52E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 </w:t>
      </w:r>
      <w:r w:rsidRPr="00EA52E3"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>Faks</w:t>
      </w:r>
      <w:r w:rsidRPr="00EA52E3">
        <w:rPr>
          <w:rFonts w:ascii="Times New Roman" w:eastAsia="Calibri" w:hAnsi="Times New Roman" w:cs="Times New Roman"/>
        </w:rPr>
        <w:t>*</w:t>
      </w:r>
      <w:r w:rsidRPr="00EA52E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  </w:t>
      </w:r>
    </w:p>
    <w:p w:rsidR="007A0F4A" w:rsidRDefault="007A0F4A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2537" w:rsidRDefault="00E02537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4</w:t>
      </w:r>
      <w:r w:rsidRPr="00DB2B1E">
        <w:rPr>
          <w:rFonts w:ascii="Times New Roman" w:eastAsia="Times New Roman" w:hAnsi="Times New Roman" w:cs="Times New Roman"/>
          <w:lang w:eastAsia="pl-PL"/>
        </w:rPr>
        <w:t>. Formy identyfikacji wnioskodawcy: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PESEL</w:t>
      </w:r>
      <w:r w:rsidRPr="00DB2B1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761FBE">
        <w:rPr>
          <w:rFonts w:ascii="Times New Roman" w:eastAsia="Times New Roman" w:hAnsi="Times New Roman" w:cs="Times New Roman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(jeżeli nie został nadany numer NIP)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N</w:t>
      </w:r>
      <w:r w:rsidR="00242C02">
        <w:rPr>
          <w:rFonts w:ascii="Times New Roman" w:eastAsia="Times New Roman" w:hAnsi="Times New Roman" w:cs="Times New Roman"/>
          <w:lang w:eastAsia="pl-PL"/>
        </w:rPr>
        <w:t>umer identyfikacji podatkowej</w:t>
      </w:r>
      <w:r w:rsidR="00242C0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242C02">
        <w:rPr>
          <w:rFonts w:ascii="Times New Roman" w:eastAsia="Times New Roman" w:hAnsi="Times New Roman" w:cs="Times New Roman"/>
          <w:bCs/>
          <w:lang w:eastAsia="pl-PL"/>
        </w:rPr>
        <w:t>(</w:t>
      </w:r>
      <w:r w:rsidR="00242C02">
        <w:rPr>
          <w:rFonts w:ascii="Times New Roman" w:eastAsia="Times New Roman" w:hAnsi="Times New Roman" w:cs="Times New Roman"/>
          <w:lang w:eastAsia="pl-PL"/>
        </w:rPr>
        <w:t xml:space="preserve">NIP)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:rsidR="00670D7E" w:rsidRPr="00DB2B1E" w:rsidRDefault="00670D7E" w:rsidP="00670D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 xml:space="preserve">                                           (jeżeli został nadany)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E025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Numer nadany na podstawie przepisów o krajowym systemie ewidencji producentów, ewidencji gospodarstw rolnych oraz ewidencji wniosków o przyznanie płatności (o ile taki numer posiada): 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>Liczba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hektarów użytków rolnych będących w posiadaniu wnioskodawcy</w:t>
      </w:r>
      <w:r w:rsidRPr="00DB2B1E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DB2B1E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DB2B1E" w:rsidRDefault="00670D7E" w:rsidP="00670D7E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Adres planowanej lokalizacji składu podatkowego: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Kraj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Województwo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DB2B1E">
        <w:rPr>
          <w:rStyle w:val="labelpodpis"/>
          <w:rFonts w:ascii="Times New Roman" w:eastAsia="Calibri" w:hAnsi="Times New Roman" w:cs="Times New Roman"/>
        </w:rPr>
        <w:t>Powiat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Gmina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DB2B1E">
        <w:rPr>
          <w:rStyle w:val="labelpodpis"/>
          <w:rFonts w:ascii="Times New Roman" w:eastAsia="Calibri" w:hAnsi="Times New Roman" w:cs="Times New Roman"/>
        </w:rPr>
        <w:t>Ulica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DB2B1E">
        <w:rPr>
          <w:rFonts w:ascii="Times New Roman" w:eastAsia="Calibri" w:hAnsi="Times New Roman" w:cs="Times New Roman"/>
        </w:rPr>
        <w:t xml:space="preserve">.... </w:t>
      </w:r>
      <w:r w:rsidRPr="00DB2B1E">
        <w:rPr>
          <w:rStyle w:val="labelpodpis"/>
          <w:rFonts w:ascii="Times New Roman" w:eastAsia="Calibri" w:hAnsi="Times New Roman" w:cs="Times New Roman"/>
        </w:rPr>
        <w:t>Nr domu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Nr lokalu</w:t>
      </w:r>
      <w:r w:rsidRPr="00DB2B1E">
        <w:rPr>
          <w:rFonts w:ascii="Times New Roman" w:eastAsia="Times New Roman" w:hAnsi="Times New Roman" w:cs="Times New Roman"/>
          <w:lang w:eastAsia="pl-PL"/>
        </w:rPr>
        <w:t>...............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Miejscowość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DB2B1E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DB2B1E">
        <w:rPr>
          <w:rStyle w:val="labelpodpis"/>
          <w:rFonts w:ascii="Times New Roman" w:eastAsia="Calibri" w:hAnsi="Times New Roman" w:cs="Times New Roman"/>
        </w:rPr>
        <w:t>Kod pocztowy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</w:t>
      </w:r>
    </w:p>
    <w:p w:rsidR="00670D7E" w:rsidRPr="00DB2B1E" w:rsidRDefault="00670D7E" w:rsidP="00670D7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Style w:val="labelpodpis"/>
          <w:rFonts w:ascii="Times New Roman" w:eastAsia="Calibri" w:hAnsi="Times New Roman" w:cs="Times New Roman"/>
        </w:rPr>
        <w:t>Poczta</w:t>
      </w:r>
      <w:r w:rsidR="00B56DF7">
        <w:rPr>
          <w:rStyle w:val="labelpodpis"/>
          <w:rFonts w:ascii="Times New Roman" w:eastAsia="Calibri" w:hAnsi="Times New Roman" w:cs="Times New Roman"/>
        </w:rPr>
        <w:t>*</w:t>
      </w: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:rsidR="00670D7E" w:rsidRPr="00DB2B1E" w:rsidRDefault="00670D7E" w:rsidP="00670D7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Pr="00DB2B1E">
        <w:rPr>
          <w:rFonts w:ascii="Times New Roman" w:eastAsia="Times New Roman" w:hAnsi="Times New Roman" w:cs="Times New Roman"/>
          <w:lang w:eastAsia="pl-PL"/>
        </w:rPr>
        <w:t>. Rodzaj/e wyrobów akcyzowych, które będą produkowane w składzie podatkowym (wraz z kodami CN)*</w:t>
      </w:r>
      <w:r>
        <w:rPr>
          <w:rFonts w:ascii="Times New Roman" w:eastAsia="Times New Roman" w:hAnsi="Times New Roman" w:cs="Times New Roman"/>
          <w:lang w:eastAsia="pl-PL"/>
        </w:rPr>
        <w:t>*</w:t>
      </w:r>
      <w:r w:rsidRPr="00DB2B1E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Cs/>
          <w:lang w:eastAsia="pl-PL"/>
        </w:rPr>
        <w:t>ester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czysty olej roślinny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2B1E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Zakres planowanej działalności </w:t>
      </w:r>
      <w:r w:rsidR="009372DD">
        <w:rPr>
          <w:rFonts w:ascii="Times New Roman" w:eastAsia="Times New Roman" w:hAnsi="Times New Roman" w:cs="Times New Roman"/>
          <w:lang w:eastAsia="pl-PL"/>
        </w:rPr>
        <w:t>–</w:t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szacunkowe dane dotyczące ilości estru lub czystego oleju roślinnego, które mają być produkowane w składzie podatkowym w okresie 1 miesiąca, ustalone z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B2B1E">
        <w:rPr>
          <w:rFonts w:ascii="Times New Roman" w:eastAsia="Times New Roman" w:hAnsi="Times New Roman" w:cs="Times New Roman"/>
          <w:lang w:eastAsia="pl-PL"/>
        </w:rPr>
        <w:t>uwzględnieniem limitu określonego w art. 21 ust. 2 ustawy z dnia 25 sierpnia 2006 r.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DB2B1E">
        <w:rPr>
          <w:rFonts w:ascii="Times New Roman" w:eastAsia="Times New Roman" w:hAnsi="Times New Roman" w:cs="Times New Roman"/>
          <w:lang w:eastAsia="pl-PL"/>
        </w:rPr>
        <w:t>biokomponentach i biopaliwach ciekłych:</w:t>
      </w:r>
    </w:p>
    <w:p w:rsidR="00670D7E" w:rsidRPr="003A2FB7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A2FB7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</w:t>
      </w:r>
    </w:p>
    <w:p w:rsidR="00670D7E" w:rsidRPr="003A2FB7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A2FB7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3A2FB7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Pr="00DB2B1E">
        <w:rPr>
          <w:rFonts w:ascii="Times New Roman" w:eastAsia="Times New Roman" w:hAnsi="Times New Roman" w:cs="Times New Roman"/>
          <w:lang w:eastAsia="pl-PL"/>
        </w:rPr>
        <w:t>. Proponowany termin obowiązywania zezwolenia*</w:t>
      </w:r>
      <w:r>
        <w:rPr>
          <w:rFonts w:ascii="Times New Roman" w:eastAsia="Times New Roman" w:hAnsi="Times New Roman" w:cs="Times New Roman"/>
          <w:lang w:eastAsia="pl-PL"/>
        </w:rPr>
        <w:t>*</w:t>
      </w:r>
      <w:r w:rsidRPr="00DB2B1E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czas nieoznaczony 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DB2B1E">
        <w:rPr>
          <w:rFonts w:ascii="Times New Roman" w:eastAsia="Times New Roman" w:hAnsi="Times New Roman" w:cs="Times New Roman"/>
          <w:lang w:eastAsia="pl-PL"/>
        </w:rPr>
        <w:t xml:space="preserve"> czas oznaczony, nie dłuższy </w:t>
      </w:r>
      <w:r>
        <w:rPr>
          <w:rFonts w:ascii="Times New Roman" w:eastAsia="Times New Roman" w:hAnsi="Times New Roman" w:cs="Times New Roman"/>
          <w:lang w:eastAsia="pl-PL"/>
        </w:rPr>
        <w:t>niż 3 lata, tj.  ...........................</w:t>
      </w:r>
    </w:p>
    <w:p w:rsidR="00F56525" w:rsidRPr="00DB2B1E" w:rsidRDefault="00F56525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Pr="00DB2B1E">
        <w:rPr>
          <w:rFonts w:ascii="Times New Roman" w:eastAsia="Times New Roman" w:hAnsi="Times New Roman" w:cs="Times New Roman"/>
          <w:lang w:eastAsia="pl-PL"/>
        </w:rPr>
        <w:t>. Wniosek o zwolnienie z obowiązku złożenia zabezpieczenia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akcyzowego na podstawie art. 64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ust. 1 w związku z ust. 2</w:t>
      </w:r>
      <w:r w:rsidRPr="00DB2B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lang w:eastAsia="pl-PL"/>
        </w:rPr>
        <w:t>ustawy z dnia 6 grudnia 2008 r. o podatku</w:t>
      </w:r>
      <w:r w:rsidR="002C3EF5">
        <w:rPr>
          <w:rFonts w:ascii="Times New Roman" w:eastAsia="Times New Roman" w:hAnsi="Times New Roman" w:cs="Times New Roman"/>
          <w:lang w:eastAsia="pl-PL"/>
        </w:rPr>
        <w:t xml:space="preserve"> akcyzowym (Dz. U. z 2017 r. poz. 43</w:t>
      </w:r>
      <w:r w:rsidR="0028684A">
        <w:rPr>
          <w:rFonts w:ascii="Times New Roman" w:eastAsia="Times New Roman" w:hAnsi="Times New Roman" w:cs="Times New Roman"/>
          <w:lang w:eastAsia="pl-PL"/>
        </w:rPr>
        <w:t>,</w:t>
      </w:r>
      <w:r w:rsidR="005B2E8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073C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="00F5073C">
        <w:rPr>
          <w:rFonts w:ascii="Times New Roman" w:eastAsia="Times New Roman" w:hAnsi="Times New Roman" w:cs="Times New Roman"/>
          <w:lang w:eastAsia="pl-PL"/>
        </w:rPr>
        <w:t>pó</w:t>
      </w:r>
      <w:r w:rsidR="004C5261">
        <w:rPr>
          <w:rFonts w:ascii="Times New Roman" w:eastAsia="Times New Roman" w:hAnsi="Times New Roman" w:cs="Times New Roman"/>
          <w:lang w:eastAsia="pl-PL"/>
        </w:rPr>
        <w:t>ź</w:t>
      </w:r>
      <w:r w:rsidR="00F5073C">
        <w:rPr>
          <w:rFonts w:ascii="Times New Roman" w:eastAsia="Times New Roman" w:hAnsi="Times New Roman" w:cs="Times New Roman"/>
          <w:lang w:eastAsia="pl-PL"/>
        </w:rPr>
        <w:t>n</w:t>
      </w:r>
      <w:proofErr w:type="spellEnd"/>
      <w:r w:rsidR="00F5073C">
        <w:rPr>
          <w:rFonts w:ascii="Times New Roman" w:eastAsia="Times New Roman" w:hAnsi="Times New Roman" w:cs="Times New Roman"/>
          <w:lang w:eastAsia="pl-PL"/>
        </w:rPr>
        <w:t>. zm</w:t>
      </w:r>
      <w:r w:rsidR="004C5261">
        <w:rPr>
          <w:rFonts w:ascii="Times New Roman" w:eastAsia="Times New Roman" w:hAnsi="Times New Roman" w:cs="Times New Roman"/>
          <w:lang w:eastAsia="pl-PL"/>
        </w:rPr>
        <w:t>.</w:t>
      </w:r>
      <w:r w:rsidRPr="00DB2B1E">
        <w:rPr>
          <w:rFonts w:ascii="Times New Roman" w:eastAsia="Times New Roman" w:hAnsi="Times New Roman" w:cs="Times New Roman"/>
          <w:lang w:eastAsia="pl-PL"/>
        </w:rPr>
        <w:t>), w przypadku spełnienia warunków określonych w tych przepisach</w:t>
      </w:r>
      <w:r w:rsidRPr="00DB2B1E"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>**:</w:t>
      </w:r>
    </w:p>
    <w:p w:rsidR="003463E0" w:rsidRPr="00DB2B1E" w:rsidRDefault="003463E0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DB2B1E">
        <w:rPr>
          <w:rFonts w:ascii="Times New Roman" w:eastAsia="Times New Roman" w:hAnsi="Times New Roman" w:cs="Times New Roman"/>
          <w:bCs/>
          <w:lang w:eastAsia="pl-PL"/>
        </w:rPr>
        <w:t xml:space="preserve"> TAK</w:t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B2B1E">
        <w:rPr>
          <w:rFonts w:ascii="Times New Roman" w:eastAsia="Times New Roman" w:hAnsi="Times New Roman" w:cs="Times New Roman"/>
          <w:bCs/>
          <w:lang w:eastAsia="pl-PL"/>
        </w:rPr>
        <w:t>NIE</w:t>
      </w:r>
    </w:p>
    <w:p w:rsidR="003463E0" w:rsidRPr="00032D19" w:rsidRDefault="003463E0" w:rsidP="00670D7E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70D7E" w:rsidRPr="00BD2F31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11</w:t>
      </w:r>
      <w:r w:rsidRPr="00BD2F31">
        <w:rPr>
          <w:rFonts w:ascii="Times New Roman" w:eastAsia="Times New Roman" w:hAnsi="Times New Roman" w:cs="Times New Roman"/>
          <w:lang w:eastAsia="pl-PL"/>
        </w:rPr>
        <w:t>. Proponowane zabezpieczenie akcyzowe, o którym mowa w art. 63 ustawy z dnia 6 grudnia 2008 r. o podatku akcyzowym</w:t>
      </w:r>
      <w:r w:rsidRPr="00DB2B1E">
        <w:rPr>
          <w:rFonts w:ascii="Times New Roman" w:eastAsia="Times New Roman" w:hAnsi="Times New Roman" w:cs="Times New Roman"/>
          <w:vertAlign w:val="superscript"/>
          <w:lang w:eastAsia="pl-PL"/>
        </w:rPr>
        <w:t>6</w:t>
      </w:r>
      <w:r w:rsidRPr="00BD2F31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BD2F31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BD2F31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Pr="00BD2F31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BD2F31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670D7E" w:rsidRPr="00BD2F31" w:rsidRDefault="00670D7E" w:rsidP="006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BD2F31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:rsidR="00670D7E" w:rsidRDefault="00670D7E" w:rsidP="006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BD2F31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:rsidR="00670D7E" w:rsidRPr="00BD2F31" w:rsidRDefault="00670D7E" w:rsidP="00670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7350FD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t>b) forma zabezpieczenia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akcyzowego</w:t>
      </w:r>
      <w:r w:rsidRPr="007350FD">
        <w:rPr>
          <w:rStyle w:val="labelpodstawowy"/>
          <w:rFonts w:ascii="Times New Roman" w:hAnsi="Times New Roman" w:cs="Times New Roman"/>
        </w:rPr>
        <w:t>*</w:t>
      </w:r>
      <w:r>
        <w:rPr>
          <w:rStyle w:val="labelpodstawowy"/>
          <w:rFonts w:ascii="Times New Roman" w:hAnsi="Times New Roman" w:cs="Times New Roman"/>
        </w:rPr>
        <w:t>*</w:t>
      </w:r>
      <w:r w:rsidRPr="007350FD">
        <w:rPr>
          <w:rFonts w:ascii="Times New Roman" w:eastAsia="Times New Roman" w:hAnsi="Times New Roman" w:cs="Times New Roman"/>
          <w:lang w:eastAsia="pl-PL"/>
        </w:rPr>
        <w:t>:</w:t>
      </w:r>
    </w:p>
    <w:p w:rsidR="00670D7E" w:rsidRPr="007350FD" w:rsidRDefault="00670D7E" w:rsidP="00670D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:rsidR="00670D7E" w:rsidRPr="007350FD" w:rsidRDefault="00670D7E" w:rsidP="00670D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:rsidR="00670D7E" w:rsidRPr="007350FD" w:rsidRDefault="00670D7E" w:rsidP="00670D7E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7350FD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7350FD">
        <w:rPr>
          <w:rFonts w:ascii="Times New Roman" w:eastAsia="Times New Roman" w:hAnsi="Times New Roman" w:cs="Times New Roman"/>
          <w:lang w:eastAsia="pl-PL"/>
        </w:rPr>
        <w:t xml:space="preserve"> z dnia 29 sierpnia 1997 r</w:t>
      </w:r>
      <w:r>
        <w:rPr>
          <w:rFonts w:ascii="Times New Roman" w:eastAsia="Times New Roman" w:hAnsi="Times New Roman" w:cs="Times New Roman"/>
          <w:lang w:eastAsia="pl-PL"/>
        </w:rPr>
        <w:t>. – Prawo bankowe (Dz. U. z 201</w:t>
      </w:r>
      <w:r w:rsidR="00E74138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E74138">
        <w:rPr>
          <w:rFonts w:ascii="Times New Roman" w:eastAsia="Times New Roman" w:hAnsi="Times New Roman" w:cs="Times New Roman"/>
          <w:lang w:eastAsia="pl-PL"/>
        </w:rPr>
        <w:t>876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Pr="007350F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7350FD">
        <w:rPr>
          <w:rFonts w:ascii="Times New Roman" w:eastAsia="Times New Roman" w:hAnsi="Times New Roman" w:cs="Times New Roman"/>
          <w:lang w:eastAsia="pl-PL"/>
        </w:rPr>
        <w:t>. zm.)</w:t>
      </w:r>
    </w:p>
    <w:p w:rsidR="00670D7E" w:rsidRPr="007350FD" w:rsidRDefault="00670D7E" w:rsidP="00670D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we</w:t>
      </w:r>
      <w:r>
        <w:rPr>
          <w:rFonts w:ascii="Times New Roman" w:eastAsia="Times New Roman" w:hAnsi="Times New Roman" w:cs="Times New Roman"/>
          <w:lang w:eastAsia="pl-PL"/>
        </w:rPr>
        <w:t>k</w:t>
      </w:r>
      <w:r w:rsidRPr="007350FD">
        <w:rPr>
          <w:rFonts w:ascii="Times New Roman" w:eastAsia="Times New Roman" w:hAnsi="Times New Roman" w:cs="Times New Roman"/>
          <w:lang w:eastAsia="pl-PL"/>
        </w:rPr>
        <w:t>sel własny</w:t>
      </w:r>
    </w:p>
    <w:p w:rsidR="00670D7E" w:rsidRDefault="00670D7E" w:rsidP="00670D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</w:t>
      </w:r>
    </w:p>
    <w:p w:rsidR="00447C4E" w:rsidRDefault="00694B2F" w:rsidP="00996E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położonej w ………………………</w:t>
      </w:r>
      <w:r w:rsidR="00352561">
        <w:rPr>
          <w:rFonts w:ascii="Times New Roman" w:eastAsia="Times New Roman" w:hAnsi="Times New Roman" w:cs="Times New Roman"/>
          <w:lang w:eastAsia="pl-PL"/>
        </w:rPr>
        <w:t>………………………….</w:t>
      </w:r>
      <w:r w:rsidR="00996E99">
        <w:rPr>
          <w:rFonts w:ascii="Times New Roman" w:eastAsia="Times New Roman" w:hAnsi="Times New Roman" w:cs="Times New Roman"/>
          <w:lang w:eastAsia="pl-PL"/>
        </w:rPr>
        <w:t>…,</w:t>
      </w:r>
    </w:p>
    <w:p w:rsidR="00447C4E" w:rsidRDefault="00447C4E" w:rsidP="00996E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powierzchni……………………………………………………………………………………,</w:t>
      </w:r>
    </w:p>
    <w:p w:rsidR="00996E99" w:rsidRPr="00053414" w:rsidRDefault="00996E99" w:rsidP="00996E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…………………………</w:t>
      </w:r>
      <w:r w:rsidR="00352561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447C4E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>, dla której prowadzona jest księga wieczysta o nr ……………………………</w:t>
      </w:r>
      <w:r w:rsidR="0059621B">
        <w:rPr>
          <w:rFonts w:ascii="Times New Roman" w:eastAsia="Times New Roman" w:hAnsi="Times New Roman" w:cs="Times New Roman"/>
          <w:lang w:eastAsia="pl-PL"/>
        </w:rPr>
        <w:t>…………………</w:t>
      </w:r>
    </w:p>
    <w:p w:rsidR="00694B2F" w:rsidRPr="007350FD" w:rsidRDefault="00694B2F" w:rsidP="00670D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50FD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>
        <w:rPr>
          <w:rFonts w:ascii="Times New Roman" w:eastAsia="Times New Roman" w:hAnsi="Times New Roman" w:cs="Times New Roman"/>
          <w:lang w:eastAsia="pl-PL"/>
        </w:rPr>
        <w:t>otych</w:t>
      </w:r>
      <w:r w:rsidR="00B72118">
        <w:rPr>
          <w:rFonts w:ascii="Times New Roman" w:eastAsia="Times New Roman" w:hAnsi="Times New Roman" w:cs="Times New Roman"/>
          <w:lang w:eastAsia="pl-PL"/>
        </w:rPr>
        <w:t>)</w:t>
      </w:r>
      <w:r w:rsidRPr="007350F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D0DB8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5D0DB8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996E99" w:rsidRDefault="00996E99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7350FD" w:rsidRDefault="00670D7E" w:rsidP="00670D7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12. Informacja o liczbie posiadanych przez wnioskodawcę zezwoleń na prowadzenie składu podatkowego</w:t>
      </w:r>
      <w:r w:rsidR="005D0DB8">
        <w:rPr>
          <w:rFonts w:ascii="Times New Roman" w:eastAsia="Times New Roman" w:hAnsi="Times New Roman" w:cs="Times New Roman"/>
          <w:lang w:eastAsia="pl-PL"/>
        </w:rPr>
        <w:t xml:space="preserve"> ….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br/>
      </w: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DB2B1E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8925FE" w:rsidRDefault="00670D7E" w:rsidP="00670D7E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:rsidR="00670D7E" w:rsidRPr="00A42F9D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A42F9D">
        <w:rPr>
          <w:rFonts w:ascii="Times New Roman" w:eastAsia="Times New Roman" w:hAnsi="Times New Roman" w:cs="Times New Roman"/>
          <w:lang w:eastAsia="pl-PL"/>
        </w:rPr>
        <w:t>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</w:t>
      </w:r>
    </w:p>
    <w:p w:rsidR="00670D7E" w:rsidRPr="00A42F9D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 (miejscowość i data)</w:t>
      </w:r>
      <w:r w:rsidRPr="00A42F9D">
        <w:rPr>
          <w:rFonts w:ascii="Times New Roman" w:eastAsia="Times New Roman" w:hAnsi="Times New Roman" w:cs="Times New Roman"/>
          <w:lang w:eastAsia="pl-PL"/>
        </w:rPr>
        <w:tab/>
      </w:r>
      <w:r w:rsidRPr="00A42F9D">
        <w:rPr>
          <w:rFonts w:ascii="Times New Roman" w:eastAsia="Times New Roman" w:hAnsi="Times New Roman" w:cs="Times New Roman"/>
          <w:lang w:eastAsia="pl-PL"/>
        </w:rPr>
        <w:tab/>
      </w:r>
      <w:r w:rsidRPr="00A42F9D">
        <w:rPr>
          <w:rFonts w:ascii="Times New Roman" w:eastAsia="Times New Roman" w:hAnsi="Times New Roman" w:cs="Times New Roman"/>
          <w:lang w:eastAsia="pl-PL"/>
        </w:rPr>
        <w:tab/>
      </w:r>
      <w:r w:rsidRPr="00A42F9D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A42F9D">
        <w:rPr>
          <w:rFonts w:ascii="Times New Roman" w:eastAsia="Times New Roman" w:hAnsi="Times New Roman" w:cs="Times New Roman"/>
          <w:lang w:eastAsia="pl-PL"/>
        </w:rPr>
        <w:t>(podpis wnioskodawcy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B32BB3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A42F9D">
        <w:rPr>
          <w:rFonts w:ascii="Times New Roman" w:eastAsia="Times New Roman" w:hAnsi="Times New Roman" w:cs="Times New Roman"/>
          <w:lang w:eastAsia="pl-PL"/>
        </w:rPr>
        <w:t>)</w:t>
      </w:r>
    </w:p>
    <w:p w:rsidR="00670D7E" w:rsidRPr="00A42F9D" w:rsidRDefault="00670D7E" w:rsidP="00670D7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E2CF2" w:rsidRDefault="003E2CF2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96E99" w:rsidRDefault="00996E99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6010B" w:rsidRDefault="0096010B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6010B" w:rsidRDefault="0096010B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47C4E" w:rsidRDefault="00447C4E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447C4E" w:rsidRDefault="00447C4E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6010B" w:rsidRDefault="0096010B" w:rsidP="00FF0399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0DB8" w:rsidRDefault="005D0DB8" w:rsidP="00FF0399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0399" w:rsidRDefault="00FF0399" w:rsidP="00B32BB3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lastRenderedPageBreak/>
        <w:t xml:space="preserve">Oświadczenia </w:t>
      </w:r>
      <w:r w:rsidR="00E74138">
        <w:rPr>
          <w:rFonts w:ascii="Times New Roman" w:eastAsia="Times New Roman" w:hAnsi="Times New Roman" w:cs="Times New Roman"/>
          <w:lang w:eastAsia="pl-PL"/>
        </w:rPr>
        <w:t>w</w:t>
      </w:r>
      <w:r w:rsidRPr="00A42F9D">
        <w:rPr>
          <w:rFonts w:ascii="Times New Roman" w:eastAsia="Times New Roman" w:hAnsi="Times New Roman" w:cs="Times New Roman"/>
          <w:lang w:eastAsia="pl-PL"/>
        </w:rPr>
        <w:t>nioskodawcy</w:t>
      </w: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70D7E" w:rsidRPr="00A42F9D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>a) nie zostałem wykreślony z rejestru rolników w ciągu ostatnich trzech lat ze względu na naruszenie przepisów ustawy</w:t>
      </w:r>
      <w:r w:rsidRPr="00A42F9D">
        <w:rPr>
          <w:rFonts w:ascii="Times New Roman" w:eastAsia="Times New Roman" w:hAnsi="Times New Roman" w:cs="Times New Roman"/>
          <w:bCs/>
          <w:lang w:eastAsia="pl-PL"/>
        </w:rPr>
        <w:t xml:space="preserve"> z dnia 25 sierpnia 2006 r. o biokomponentach i bio</w:t>
      </w:r>
      <w:r w:rsidR="001A2482">
        <w:rPr>
          <w:rFonts w:ascii="Times New Roman" w:eastAsia="Times New Roman" w:hAnsi="Times New Roman" w:cs="Times New Roman"/>
          <w:bCs/>
          <w:lang w:eastAsia="pl-PL"/>
        </w:rPr>
        <w:t>paliwach ciekłych (Dz.</w:t>
      </w:r>
      <w:r w:rsidR="0016007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1A2482">
        <w:rPr>
          <w:rFonts w:ascii="Times New Roman" w:eastAsia="Times New Roman" w:hAnsi="Times New Roman" w:cs="Times New Roman"/>
          <w:bCs/>
          <w:lang w:eastAsia="pl-PL"/>
        </w:rPr>
        <w:t xml:space="preserve">U. z </w:t>
      </w:r>
      <w:r w:rsidR="00FF0399">
        <w:rPr>
          <w:rFonts w:ascii="Times New Roman" w:eastAsia="Times New Roman" w:hAnsi="Times New Roman" w:cs="Times New Roman"/>
          <w:bCs/>
          <w:lang w:eastAsia="pl-PL"/>
        </w:rPr>
        <w:br/>
      </w:r>
      <w:r w:rsidR="001A2482">
        <w:rPr>
          <w:rFonts w:ascii="Times New Roman" w:eastAsia="Times New Roman" w:hAnsi="Times New Roman" w:cs="Times New Roman"/>
          <w:bCs/>
          <w:lang w:eastAsia="pl-PL"/>
        </w:rPr>
        <w:t>201</w:t>
      </w:r>
      <w:r w:rsidR="00470CF9">
        <w:rPr>
          <w:rFonts w:ascii="Times New Roman" w:eastAsia="Times New Roman" w:hAnsi="Times New Roman" w:cs="Times New Roman"/>
          <w:bCs/>
          <w:lang w:eastAsia="pl-PL"/>
        </w:rPr>
        <w:t>7</w:t>
      </w:r>
      <w:r w:rsidR="001A248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42F9D">
        <w:rPr>
          <w:rFonts w:ascii="Times New Roman" w:eastAsia="Times New Roman" w:hAnsi="Times New Roman" w:cs="Times New Roman"/>
          <w:bCs/>
          <w:lang w:eastAsia="pl-PL"/>
        </w:rPr>
        <w:t>r. poz.</w:t>
      </w:r>
      <w:r w:rsidR="0016007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470CF9">
        <w:rPr>
          <w:rFonts w:ascii="Times New Roman" w:eastAsia="Times New Roman" w:hAnsi="Times New Roman" w:cs="Times New Roman"/>
          <w:bCs/>
          <w:lang w:eastAsia="pl-PL"/>
        </w:rPr>
        <w:t>285</w:t>
      </w:r>
      <w:r w:rsidR="009372DD" w:rsidRPr="00FD26E4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="009372DD" w:rsidRPr="00FD26E4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9372DD" w:rsidRPr="00FD26E4">
        <w:rPr>
          <w:rFonts w:ascii="Times New Roman" w:eastAsia="Times New Roman" w:hAnsi="Times New Roman" w:cs="Times New Roman"/>
          <w:lang w:eastAsia="pl-PL"/>
        </w:rPr>
        <w:t>. zm.</w:t>
      </w:r>
      <w:r w:rsidRPr="00A42F9D">
        <w:rPr>
          <w:rFonts w:ascii="Times New Roman" w:eastAsia="Times New Roman" w:hAnsi="Times New Roman" w:cs="Times New Roman"/>
          <w:bCs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b) nie jest wobec mnie prowadzone postępowanie egzekucyjne, likwidacyjne lub upadłościowe, </w:t>
      </w: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>c)</w:t>
      </w:r>
      <w:r w:rsidRPr="00A42F9D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2F9D">
        <w:rPr>
          <w:rFonts w:ascii="Times New Roman" w:eastAsia="Times New Roman" w:hAnsi="Times New Roman" w:cs="Times New Roman"/>
          <w:lang w:eastAsia="pl-PL"/>
        </w:rPr>
        <w:t>w miejscu lub pomieszczeniu, w którym ma być prowadzony skład podatkowy</w:t>
      </w:r>
      <w:r w:rsidR="00160073">
        <w:rPr>
          <w:rFonts w:ascii="Times New Roman" w:eastAsia="Times New Roman" w:hAnsi="Times New Roman" w:cs="Times New Roman"/>
          <w:lang w:eastAsia="pl-PL"/>
        </w:rPr>
        <w:t>,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nie jest prowadzony inny skład podatkowy oraz że miejsce to lub pomieszczenie spełnia</w:t>
      </w:r>
      <w:r w:rsidR="00160073">
        <w:rPr>
          <w:rFonts w:ascii="Times New Roman" w:eastAsia="Times New Roman" w:hAnsi="Times New Roman" w:cs="Times New Roman"/>
          <w:lang w:eastAsia="pl-PL"/>
        </w:rPr>
        <w:t>ją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warunki do prowadzenia działalności wymagane przez Państwową Inspekcję Sanitarną, Inspekcję Ochrony Środowiska, Państwową Straż Pożarną oraz Państwową Inspekcję Pracy,</w:t>
      </w:r>
    </w:p>
    <w:p w:rsidR="00670D7E" w:rsidRPr="00A42F9D" w:rsidRDefault="00670D7E" w:rsidP="00670D7E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</w:p>
    <w:p w:rsidR="00670D7E" w:rsidRPr="00FD26E4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d) </w:t>
      </w:r>
      <w:r w:rsidRPr="00FD26E4">
        <w:rPr>
          <w:rFonts w:ascii="Times New Roman" w:eastAsia="Times New Roman" w:hAnsi="Times New Roman" w:cs="Times New Roman"/>
          <w:lang w:eastAsia="pl-PL"/>
        </w:rPr>
        <w:t xml:space="preserve">nie zostało mi cofnięte, ze względu na naruszenie przepisów prawa, w okresie ostatnich 3 lat, licząc od dnia złożenia wniosku o wydanie zezwolenia, żadne z udzielonych mi zezwoleń, o których mowa w art. 84 ust. 1 ustawy </w:t>
      </w:r>
      <w:r w:rsidRPr="000B1B1E">
        <w:rPr>
          <w:rFonts w:ascii="Times New Roman" w:eastAsia="Times New Roman" w:hAnsi="Times New Roman" w:cs="Arial"/>
          <w:lang w:eastAsia="pl-PL"/>
        </w:rPr>
        <w:t xml:space="preserve">z dnia 6 grudnia 2008 r. </w:t>
      </w:r>
      <w:r w:rsidRPr="00FD26E4">
        <w:rPr>
          <w:rFonts w:ascii="Times New Roman" w:eastAsia="Times New Roman" w:hAnsi="Times New Roman"/>
          <w:lang w:eastAsia="pl-PL"/>
        </w:rPr>
        <w:t>o podatku akcyzowym</w:t>
      </w:r>
      <w:r w:rsidRPr="00FD26E4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przeze mnie działalności regulowanej w rozumieniu przepisów ustawy</w:t>
      </w:r>
      <w:r w:rsidRPr="00694B2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26912">
        <w:rPr>
          <w:rFonts w:ascii="Times New Roman" w:eastAsia="Times New Roman" w:hAnsi="Times New Roman" w:cs="Times New Roman"/>
          <w:lang w:eastAsia="pl-PL"/>
        </w:rPr>
        <w:t>z dnia 6 marca 2018 r. – Prawo przedsiębiorców (Dz. U. poz. 646)</w:t>
      </w:r>
      <w:r w:rsidRPr="00FD26E4">
        <w:rPr>
          <w:rFonts w:ascii="Times New Roman" w:eastAsia="Times New Roman" w:hAnsi="Times New Roman" w:cs="Times New Roman"/>
          <w:lang w:eastAsia="pl-PL"/>
        </w:rPr>
        <w:t>,</w:t>
      </w:r>
      <w:r w:rsidRPr="003463E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D26E4">
        <w:rPr>
          <w:rFonts w:ascii="Times New Roman" w:eastAsia="Times New Roman" w:hAnsi="Times New Roman" w:cs="Times New Roman"/>
          <w:lang w:eastAsia="pl-PL"/>
        </w:rPr>
        <w:t>w zakresie wyrobów akcyzowych.</w:t>
      </w: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89D" w:rsidRPr="00A42F9D" w:rsidRDefault="00C1389D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670D7E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FF03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>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="00C95E29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96010B">
        <w:rPr>
          <w:rFonts w:ascii="Times New Roman" w:eastAsia="Times New Roman" w:hAnsi="Times New Roman" w:cs="Times New Roman"/>
          <w:lang w:eastAsia="pl-PL"/>
        </w:rPr>
        <w:tab/>
      </w:r>
      <w:r w:rsidR="00C95E29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A42F9D">
        <w:rPr>
          <w:rFonts w:ascii="Times New Roman" w:eastAsia="Times New Roman" w:hAnsi="Times New Roman" w:cs="Times New Roman"/>
          <w:lang w:eastAsia="pl-PL"/>
        </w:rPr>
        <w:t>.........................</w:t>
      </w:r>
      <w:r w:rsidR="000A30D5">
        <w:rPr>
          <w:rFonts w:ascii="Times New Roman" w:eastAsia="Times New Roman" w:hAnsi="Times New Roman" w:cs="Times New Roman"/>
          <w:lang w:eastAsia="pl-PL"/>
        </w:rPr>
        <w:t>...................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FF0399" w:rsidRDefault="00670D7E" w:rsidP="003463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(miejscowość i data)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r w:rsidR="00FF0399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A42F9D">
        <w:rPr>
          <w:rFonts w:ascii="Times New Roman" w:eastAsia="Times New Roman" w:hAnsi="Times New Roman" w:cs="Times New Roman"/>
          <w:lang w:eastAsia="pl-PL"/>
        </w:rPr>
        <w:t>(podpis wnioskodawcy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307573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) </w:t>
      </w:r>
    </w:p>
    <w:p w:rsidR="003463E0" w:rsidRPr="00A42F9D" w:rsidRDefault="003463E0" w:rsidP="003463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94B2F" w:rsidRDefault="00694B2F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94B2F" w:rsidRDefault="00694B2F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9E36BB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E36BB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9E36BB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akcyzowe w formie hipoteki na nieruchomości***</w:t>
      </w:r>
    </w:p>
    <w:p w:rsidR="00694B2F" w:rsidRDefault="00694B2F" w:rsidP="00694B2F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02537" w:rsidRDefault="00694B2F" w:rsidP="00694B2F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</w:p>
    <w:p w:rsidR="00694B2F" w:rsidRPr="00053414" w:rsidRDefault="00694B2F" w:rsidP="00694B2F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96E99" w:rsidRDefault="00FB4252" w:rsidP="00996E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nieruchomość, na której ma zostać ustanowiona hipoteka</w:t>
      </w:r>
      <w:r w:rsidR="000A30D5">
        <w:rPr>
          <w:rFonts w:ascii="Times New Roman" w:eastAsia="Times New Roman" w:hAnsi="Times New Roman" w:cs="Times New Roman"/>
          <w:lang w:eastAsia="pl-PL"/>
        </w:rPr>
        <w:t>,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996E99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,  </w:t>
      </w:r>
    </w:p>
    <w:p w:rsidR="00996E99" w:rsidRPr="00053414" w:rsidRDefault="00996E99" w:rsidP="00996E9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996E99" w:rsidP="00CA7D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CA7D99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9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996E99" w:rsidRDefault="00996E99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996E99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352561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10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996E99" w:rsidRDefault="00996E99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996E99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CA7D99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wynosi …</w:t>
      </w:r>
      <w:r w:rsidR="0091640D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7B2694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="0091640D">
        <w:rPr>
          <w:rFonts w:ascii="Times New Roman" w:eastAsia="Times New Roman" w:hAnsi="Times New Roman" w:cs="Times New Roman"/>
          <w:vertAlign w:val="superscript"/>
          <w:lang w:eastAsia="pl-PL"/>
        </w:rPr>
        <w:t>11</w:t>
      </w:r>
      <w:r w:rsidR="0091640D"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7B2694">
        <w:rPr>
          <w:rFonts w:ascii="Times New Roman" w:eastAsia="Times New Roman" w:hAnsi="Times New Roman" w:cs="Times New Roman"/>
          <w:lang w:eastAsia="pl-PL"/>
        </w:rPr>
        <w:t>,</w:t>
      </w:r>
    </w:p>
    <w:p w:rsidR="00447C4E" w:rsidRDefault="00447C4E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47C4E" w:rsidRDefault="00447C4E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 do jakiego zostanie ustanowiona hipote</w:t>
      </w:r>
      <w:r w:rsidR="0091640D">
        <w:rPr>
          <w:rFonts w:ascii="Times New Roman" w:eastAsia="Times New Roman" w:hAnsi="Times New Roman" w:cs="Times New Roman"/>
          <w:lang w:eastAsia="pl-PL"/>
        </w:rPr>
        <w:t>ka na nieruchomości, wynosi…………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="007B2694">
        <w:rPr>
          <w:rFonts w:ascii="Times New Roman" w:eastAsia="Times New Roman" w:hAnsi="Times New Roman" w:cs="Times New Roman"/>
          <w:lang w:eastAsia="pl-PL"/>
        </w:rPr>
        <w:t>….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12)</w:t>
      </w:r>
      <w:r w:rsidR="007B2694">
        <w:rPr>
          <w:rFonts w:ascii="Times New Roman" w:eastAsia="Times New Roman" w:hAnsi="Times New Roman" w:cs="Times New Roman"/>
          <w:lang w:eastAsia="pl-PL"/>
        </w:rPr>
        <w:t>,</w:t>
      </w:r>
    </w:p>
    <w:p w:rsidR="00447C4E" w:rsidRDefault="00447C4E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447C4E" w:rsidP="00996E9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996E99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będzie…</w:t>
      </w:r>
      <w:r w:rsidR="00FF40D9">
        <w:rPr>
          <w:rFonts w:ascii="Times New Roman" w:eastAsia="Times New Roman" w:hAnsi="Times New Roman" w:cs="Times New Roman"/>
          <w:lang w:eastAsia="pl-PL"/>
        </w:rPr>
        <w:t>..</w:t>
      </w:r>
      <w:r w:rsidR="00CA7D99">
        <w:rPr>
          <w:rFonts w:ascii="Times New Roman" w:eastAsia="Times New Roman" w:hAnsi="Times New Roman" w:cs="Times New Roman"/>
          <w:lang w:eastAsia="pl-PL"/>
        </w:rPr>
        <w:t>.</w:t>
      </w:r>
      <w:r w:rsidR="00996E99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 w:rsidR="00996E9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7B2694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="00996E99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94B2F" w:rsidRDefault="00694B2F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90092" w:rsidRDefault="00C90092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573" w:rsidRDefault="00307573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0399" w:rsidRDefault="00694B2F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3463E0">
        <w:rPr>
          <w:rFonts w:ascii="Times New Roman" w:eastAsia="Times New Roman" w:hAnsi="Times New Roman" w:cs="Times New Roman"/>
          <w:lang w:eastAsia="pl-PL"/>
        </w:rPr>
        <w:t>……..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:rsidR="00C1389D" w:rsidRDefault="00694B2F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</w:t>
      </w:r>
      <w:r w:rsidR="0091640D"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307573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307573" w:rsidRDefault="00307573" w:rsidP="00694B2F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573" w:rsidRDefault="00307573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053414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:rsidR="00670D7E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:rsidR="00694B2F" w:rsidRDefault="00694B2F" w:rsidP="00694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*** Oświadczenia składane </w:t>
      </w:r>
      <w:r w:rsidR="00AC7694">
        <w:rPr>
          <w:rFonts w:ascii="Times New Roman" w:eastAsia="Times New Roman" w:hAnsi="Times New Roman" w:cs="Times New Roman"/>
          <w:color w:val="000000"/>
          <w:lang w:eastAsia="pl-PL"/>
        </w:rPr>
        <w:t xml:space="preserve">dodatkowo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przypadku </w:t>
      </w:r>
      <w:r w:rsidR="00E02537">
        <w:rPr>
          <w:rFonts w:ascii="Times New Roman" w:eastAsia="Times New Roman" w:hAnsi="Times New Roman" w:cs="Times New Roman"/>
          <w:color w:val="000000"/>
          <w:lang w:eastAsia="pl-PL"/>
        </w:rPr>
        <w:t xml:space="preserve">gdy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wnioskodawc</w:t>
      </w:r>
      <w:r w:rsidR="00E02537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02537">
        <w:rPr>
          <w:rFonts w:ascii="Times New Roman" w:eastAsia="Times New Roman" w:hAnsi="Times New Roman" w:cs="Times New Roman"/>
          <w:color w:val="000000"/>
          <w:lang w:eastAsia="pl-PL"/>
        </w:rPr>
        <w:t xml:space="preserve">zamierza złożyć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zabezpieczeni</w:t>
      </w:r>
      <w:r w:rsidR="00E02537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:rsidR="00694B2F" w:rsidRPr="00053414" w:rsidRDefault="00694B2F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70D7E" w:rsidRPr="00573BF0" w:rsidRDefault="00670D7E" w:rsidP="00670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Rolnik w rozumieniu przepisów ustawy z dnia 25 sierpnia 2006</w:t>
      </w:r>
      <w:r w:rsidR="005740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2F9D">
        <w:rPr>
          <w:rFonts w:ascii="Times New Roman" w:eastAsia="Times New Roman" w:hAnsi="Times New Roman" w:cs="Times New Roman"/>
          <w:lang w:eastAsia="pl-PL"/>
        </w:rPr>
        <w:t>r. o biokomponentach i biopaliwach ciekłych.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W przypadku grup, o których mowa w art. 2 ust. 3 ustawy z dnia 25 sierpnia 2006 r.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42F9D">
        <w:rPr>
          <w:rFonts w:ascii="Times New Roman" w:eastAsia="Times New Roman" w:hAnsi="Times New Roman" w:cs="Times New Roman"/>
          <w:lang w:eastAsia="pl-PL"/>
        </w:rPr>
        <w:t>biokomponentach i biopaliwach ciekłych</w:t>
      </w:r>
      <w:r w:rsidR="00160073">
        <w:rPr>
          <w:rFonts w:ascii="Times New Roman" w:eastAsia="Times New Roman" w:hAnsi="Times New Roman" w:cs="Times New Roman"/>
          <w:lang w:eastAsia="pl-PL"/>
        </w:rPr>
        <w:t>,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należy podać nazwę grupy producentów rolnych albo imiona i nazwiska członków grupy osób fizycznych.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W przypadku grupy, o której mowa w art. 2 ust. 3 pkt 1 ustawy z dnia 25 sierpnia 2006 r.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42F9D">
        <w:rPr>
          <w:rFonts w:ascii="Times New Roman" w:eastAsia="Times New Roman" w:hAnsi="Times New Roman" w:cs="Times New Roman"/>
          <w:lang w:eastAsia="pl-PL"/>
        </w:rPr>
        <w:t>biokomponentach i biopaliwach ciekłych</w:t>
      </w:r>
      <w:r w:rsidR="00160073">
        <w:rPr>
          <w:rFonts w:ascii="Times New Roman" w:eastAsia="Times New Roman" w:hAnsi="Times New Roman" w:cs="Times New Roman"/>
          <w:lang w:eastAsia="pl-PL"/>
        </w:rPr>
        <w:t>,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należy podać siedzibę grupy albo miejsce zamieszkania każdego z członków grupy osób fizycznych. 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>4)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W przypadku grupy, o której mowa w art. 2 ust. 3 pkt 1 ustawy z dnia 25 sierpnia 2006 r. 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42F9D">
        <w:rPr>
          <w:rFonts w:ascii="Times New Roman" w:eastAsia="Times New Roman" w:hAnsi="Times New Roman" w:cs="Times New Roman"/>
          <w:lang w:eastAsia="pl-PL"/>
        </w:rPr>
        <w:t>biokomponentach i biopaliwach ciekłych</w:t>
      </w:r>
      <w:r w:rsidR="00160073">
        <w:rPr>
          <w:rFonts w:ascii="Times New Roman" w:eastAsia="Times New Roman" w:hAnsi="Times New Roman" w:cs="Times New Roman"/>
          <w:lang w:eastAsia="pl-PL"/>
        </w:rPr>
        <w:t>,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należy podać ilość hektarów użytków rolnych będących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posiadaniu wnioskodawcy </w:t>
      </w:r>
      <w:r w:rsidR="00574029">
        <w:rPr>
          <w:rFonts w:ascii="Times New Roman" w:eastAsia="Times New Roman" w:hAnsi="Times New Roman" w:cs="Times New Roman"/>
          <w:lang w:eastAsia="pl-PL"/>
        </w:rPr>
        <w:t>–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 w rozbiciu na poszczególnych członków grupy osób fizycznych.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Zgodnie z art. 64 ust. 1 pkt 1, 4 i 5 w zw. z art. 64 ust. 2 ustawy z dnia 6 grudnia 2008 r. o podatku akcyzowym rolnik występujący z wnioskiem o zwolnienie z obowiązku złożenia zabezpieczenia akcyzowego powinien: </w:t>
      </w:r>
    </w:p>
    <w:p w:rsidR="00670D7E" w:rsidRPr="00A42F9D" w:rsidRDefault="00E74138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4138">
        <w:rPr>
          <w:rFonts w:ascii="Times New Roman" w:eastAsia="Times New Roman" w:hAnsi="Times New Roman" w:cs="Times New Roman"/>
          <w:lang w:eastAsia="pl-PL"/>
        </w:rPr>
        <w:t>–</w:t>
      </w:r>
      <w:r w:rsidR="001600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 xml:space="preserve">mieć swoją siedzibę lub miejsce zamieszkania na terytorium kraju, </w:t>
      </w:r>
    </w:p>
    <w:p w:rsidR="00670D7E" w:rsidRPr="00A42F9D" w:rsidRDefault="00E74138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74138">
        <w:rPr>
          <w:rFonts w:ascii="Times New Roman" w:eastAsia="Times New Roman" w:hAnsi="Times New Roman" w:cs="Times New Roman"/>
          <w:lang w:eastAsia="pl-PL"/>
        </w:rPr>
        <w:t>–</w:t>
      </w:r>
      <w:r w:rsidR="001600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>nie posiadać zaległości z tytułu cła, podatków stanowiących dochód budżetu państwa, opłaty paliwowej oraz składek na ubezpieczenia społeczne i zdrowotne oraz nie może być wobec niego prowadzone postępowanie egzekucyjne, likwidacyjne lub upadłościowe oraz</w:t>
      </w:r>
    </w:p>
    <w:p w:rsidR="00670D7E" w:rsidRPr="00A42F9D" w:rsidRDefault="00E74138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74138">
        <w:rPr>
          <w:rFonts w:ascii="Times New Roman" w:eastAsia="Times New Roman" w:hAnsi="Times New Roman" w:cs="Times New Roman"/>
          <w:lang w:eastAsia="pl-PL"/>
        </w:rPr>
        <w:t>–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 xml:space="preserve"> zobowiązać się do zapłacenia, na pierwsze pisemne żądanie właściwego naczelnika urzędu </w:t>
      </w:r>
      <w:r w:rsidR="003312E1">
        <w:rPr>
          <w:rFonts w:ascii="Times New Roman" w:eastAsia="Times New Roman" w:hAnsi="Times New Roman" w:cs="Times New Roman"/>
          <w:lang w:eastAsia="pl-PL"/>
        </w:rPr>
        <w:t>skarbowego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>, kwoty akcyzy oraz kwoty opłaty paliwowej przypadających do zapłaty z tytułu powstania zobowiązania podatkowego oraz obowiązku zapłaty opłaty paliwowej.</w:t>
      </w:r>
      <w:r w:rsidR="00670D7E" w:rsidRPr="00A42F9D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lang w:eastAsia="pl-PL"/>
        </w:rPr>
        <w:t xml:space="preserve">Wzór wniosku o zwolnienie z obowiązku złożenia zabezpieczenia akcyzowego, a także sposób udokumentowania spełnienia warunków udzielenia takiego zwolnienia określają przepisy </w:t>
      </w:r>
      <w:r w:rsidR="00160073">
        <w:rPr>
          <w:rFonts w:ascii="Times New Roman" w:eastAsia="Times New Roman" w:hAnsi="Times New Roman" w:cs="Times New Roman"/>
          <w:lang w:eastAsia="pl-PL"/>
        </w:rPr>
        <w:t xml:space="preserve">wykonawcze </w:t>
      </w:r>
      <w:r w:rsidRPr="00A42F9D">
        <w:rPr>
          <w:rFonts w:ascii="Times New Roman" w:eastAsia="Times New Roman" w:hAnsi="Times New Roman" w:cs="Times New Roman"/>
          <w:lang w:eastAsia="pl-PL"/>
        </w:rPr>
        <w:t xml:space="preserve">wydane na podstawie art. 64 ust. 10 ustawy z dnia 6 grudnia 2008 r. o podatku akcyzowym. Jeśli wnioskodawca złożył wniosek o zwolnienie z obowiązku złożenia zabezpieczenia akcyzowego w trybie art. 64 tej ustawy, zaznacza odpowiedź „tak”. W innych przypadkach zaznacza odpowiedź „nie”.  </w:t>
      </w:r>
    </w:p>
    <w:p w:rsidR="00670D7E" w:rsidRPr="00A42F9D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670D7E" w:rsidRDefault="00670D7E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2F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 w:rsidRPr="00A42F9D">
        <w:rPr>
          <w:rFonts w:ascii="Times New Roman" w:eastAsia="Times New Roman" w:hAnsi="Times New Roman" w:cs="Times New Roman"/>
          <w:lang w:eastAsia="pl-PL"/>
        </w:rPr>
        <w:t>Punkt ten należy wypełnić w przypadku niewystąpienia z wnioskiem o zwolnienie z obowiązku złożenia zabezpieczenia akcyzowego.</w:t>
      </w:r>
    </w:p>
    <w:p w:rsidR="007B2694" w:rsidRPr="00A42F9D" w:rsidRDefault="007B2694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7B2694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7</w:t>
      </w:r>
      <w:r w:rsidR="00670D7E" w:rsidRPr="00A42F9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>W przypadku grupy, o której mowa w art. 2 ust. 3 pkt 1 ustawy z dnia 25 sierpnia 2006 r. o</w:t>
      </w:r>
      <w:r w:rsidR="00670D7E">
        <w:rPr>
          <w:rFonts w:ascii="Times New Roman" w:eastAsia="Times New Roman" w:hAnsi="Times New Roman" w:cs="Times New Roman"/>
          <w:lang w:eastAsia="pl-PL"/>
        </w:rPr>
        <w:t> 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>biokomponentach i biopaliwach ciekłych</w:t>
      </w:r>
      <w:r w:rsidR="00160073">
        <w:rPr>
          <w:rFonts w:ascii="Times New Roman" w:eastAsia="Times New Roman" w:hAnsi="Times New Roman" w:cs="Times New Roman"/>
          <w:lang w:eastAsia="pl-PL"/>
        </w:rPr>
        <w:t>,</w:t>
      </w:r>
      <w:r w:rsidR="00670D7E" w:rsidRPr="00A42F9D">
        <w:rPr>
          <w:rFonts w:ascii="Times New Roman" w:eastAsia="Times New Roman" w:hAnsi="Times New Roman" w:cs="Times New Roman"/>
          <w:lang w:eastAsia="pl-PL"/>
        </w:rPr>
        <w:t xml:space="preserve"> podpisy z podaniem daty składają wszyscy członkowie grupy.</w:t>
      </w:r>
    </w:p>
    <w:p w:rsidR="00FB4252" w:rsidRPr="00FB4252" w:rsidRDefault="00FB4252" w:rsidP="00CA7D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96E99" w:rsidRDefault="007B2694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8</w:t>
      </w:r>
      <w:r w:rsidR="00996E99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CA7D9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996E99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996E99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96E9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96E9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96E9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, o której mowa w art. 67 ust. 1 pkt 6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może zostać ustanowiona wyłącznie na prawie własności nieruchomości. 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>Zgodnie z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art. 69a ust. </w:t>
      </w:r>
      <w:r w:rsidR="00352561">
        <w:rPr>
          <w:rFonts w:ascii="Times New Roman" w:eastAsia="Times New Roman" w:hAnsi="Times New Roman" w:cs="Times New Roman"/>
          <w:lang w:eastAsia="pl-PL"/>
        </w:rPr>
        <w:t>9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pkt 1 </w:t>
      </w:r>
      <w:r w:rsidR="00100444">
        <w:rPr>
          <w:rFonts w:ascii="Times New Roman" w:eastAsia="Times New Roman" w:hAnsi="Times New Roman" w:cs="Times New Roman"/>
          <w:lang w:eastAsia="pl-PL"/>
        </w:rPr>
        <w:t>ww.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w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dniu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ustanowienia hipoteki nieruchomość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ma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stanowić wyłączną własność podmiotu obowiązanego do złożenia zabezpieczenia akcyzowego.</w:t>
      </w:r>
    </w:p>
    <w:p w:rsidR="00996E99" w:rsidRDefault="007B2694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lastRenderedPageBreak/>
        <w:t>9</w:t>
      </w:r>
      <w:r w:rsidR="00996E9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52561">
        <w:rPr>
          <w:rFonts w:ascii="Times New Roman" w:eastAsia="Times New Roman" w:hAnsi="Times New Roman" w:cs="Times New Roman"/>
          <w:lang w:eastAsia="pl-PL"/>
        </w:rPr>
        <w:t>9</w:t>
      </w:r>
      <w:r w:rsidR="00996E99">
        <w:rPr>
          <w:rFonts w:ascii="Times New Roman" w:eastAsia="Times New Roman" w:hAnsi="Times New Roman" w:cs="Times New Roman"/>
          <w:lang w:eastAsia="pl-PL"/>
        </w:rPr>
        <w:t xml:space="preserve"> pkt 2 </w:t>
      </w:r>
      <w:r w:rsidR="00996E9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96E9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96E9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w d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niu</w:t>
      </w:r>
      <w:r w:rsidR="00996E99">
        <w:rPr>
          <w:rFonts w:ascii="Times New Roman" w:eastAsia="Times New Roman" w:hAnsi="Times New Roman" w:cs="Times New Roman"/>
          <w:color w:val="000000"/>
          <w:lang w:eastAsia="pl-PL"/>
        </w:rPr>
        <w:t xml:space="preserve"> ustanowienia hipoteki nieruchomość nie może być obciążona ograniczonymi prawami rzeczowymi, z wyjątkiem służebności </w:t>
      </w:r>
      <w:proofErr w:type="spellStart"/>
      <w:r w:rsidR="00996E99">
        <w:rPr>
          <w:rFonts w:ascii="Times New Roman" w:eastAsia="Times New Roman" w:hAnsi="Times New Roman" w:cs="Times New Roman"/>
          <w:color w:val="000000"/>
          <w:lang w:eastAsia="pl-PL"/>
        </w:rPr>
        <w:t>przesyłu</w:t>
      </w:r>
      <w:proofErr w:type="spellEnd"/>
      <w:r w:rsidR="00996E9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996E99" w:rsidRDefault="00996E99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="007B269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352561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 stosunku do której istnieją ograniczenia obrotu nieruchomością wynikające z przepisów odrębnych, nie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ustanawia się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hipoteki.</w:t>
      </w:r>
    </w:p>
    <w:p w:rsidR="00352561" w:rsidRDefault="00996E99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 w:rsidR="007B269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wartość nieruchomości przyjmuje się na podstawie zadeklarowanej przez podmiot, o którym mowa w art. 63 ust. 1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 o wydanie zezwolenia</w:t>
      </w:r>
      <w:r w:rsidR="009F1B39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, z uwzględnieniem miejsca jej położenia, stanu i stopnia zużycia nieruchomości oraz przeciętnych cen nieruchomości do niej podobnych.</w:t>
      </w:r>
    </w:p>
    <w:p w:rsidR="007B2694" w:rsidRPr="00996E99" w:rsidRDefault="007B2694" w:rsidP="007B2694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12)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 xml:space="preserve">2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lang w:eastAsia="pl-PL"/>
        </w:rPr>
        <w:t xml:space="preserve"> hipoteka na nieruchomości może zostać ustanowiona do 65 % wartości nieruchomości.</w:t>
      </w:r>
    </w:p>
    <w:p w:rsidR="00352561" w:rsidRDefault="00FB4252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CA7D99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zabezpieczenie złożone w formie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o której mowa w art. 67 ust. 1 pkt 6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ustawy,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 xml:space="preserve"> może stanowić pokrycie 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br/>
        <w:t>do 45 % zabezpieczenia akcyzowego. Pozostałą część zabezpieczenia akcyzowego składa się w jednej lub kilku formach przewidzianych w art. 67 ust. 1 pkt 1</w:t>
      </w:r>
      <w:r w:rsidR="008878DD">
        <w:rPr>
          <w:rFonts w:ascii="Times New Roman" w:eastAsia="Times New Roman" w:hAnsi="Times New Roman" w:cs="Times New Roman"/>
          <w:lang w:eastAsia="pl-PL"/>
        </w:rPr>
        <w:t>–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334B2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00444">
        <w:rPr>
          <w:rFonts w:ascii="Times New Roman" w:eastAsia="Times New Roman" w:hAnsi="Times New Roman" w:cs="Times New Roman"/>
          <w:color w:val="000000"/>
          <w:lang w:eastAsia="pl-PL"/>
        </w:rPr>
        <w:t>ww.ustawy</w:t>
      </w:r>
      <w:r w:rsidR="0035256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E2CF2" w:rsidRDefault="003E2CF2" w:rsidP="00CA7D9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E2CF2" w:rsidRPr="00387EB7" w:rsidRDefault="003E2CF2" w:rsidP="00CA7D99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4252" w:rsidRPr="00387EB7" w:rsidRDefault="00FB4252" w:rsidP="00CA7D99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94B2F" w:rsidRDefault="00694B2F" w:rsidP="00CA7D99">
      <w:pPr>
        <w:spacing w:line="240" w:lineRule="auto"/>
      </w:pPr>
    </w:p>
    <w:p w:rsidR="008407B3" w:rsidRDefault="008407B3" w:rsidP="00CA7D99">
      <w:pPr>
        <w:spacing w:line="240" w:lineRule="auto"/>
      </w:pPr>
    </w:p>
    <w:sectPr w:rsidR="00840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7E"/>
    <w:rsid w:val="00021B67"/>
    <w:rsid w:val="00026912"/>
    <w:rsid w:val="000326B3"/>
    <w:rsid w:val="00032D19"/>
    <w:rsid w:val="00055FAC"/>
    <w:rsid w:val="000A30D5"/>
    <w:rsid w:val="000B0F0B"/>
    <w:rsid w:val="00100444"/>
    <w:rsid w:val="00144A87"/>
    <w:rsid w:val="00160073"/>
    <w:rsid w:val="00191D2D"/>
    <w:rsid w:val="001A2482"/>
    <w:rsid w:val="00242C02"/>
    <w:rsid w:val="00276C27"/>
    <w:rsid w:val="0028684A"/>
    <w:rsid w:val="002A172D"/>
    <w:rsid w:val="002C3EF5"/>
    <w:rsid w:val="00300E32"/>
    <w:rsid w:val="00307573"/>
    <w:rsid w:val="00313295"/>
    <w:rsid w:val="003312E1"/>
    <w:rsid w:val="00334B25"/>
    <w:rsid w:val="003463E0"/>
    <w:rsid w:val="00352561"/>
    <w:rsid w:val="003546B5"/>
    <w:rsid w:val="00376AED"/>
    <w:rsid w:val="003A6650"/>
    <w:rsid w:val="003B69E6"/>
    <w:rsid w:val="003C3EE7"/>
    <w:rsid w:val="003E2CF2"/>
    <w:rsid w:val="004001FA"/>
    <w:rsid w:val="00415B60"/>
    <w:rsid w:val="004337BE"/>
    <w:rsid w:val="004441AA"/>
    <w:rsid w:val="00447C4E"/>
    <w:rsid w:val="00470CF9"/>
    <w:rsid w:val="004C2E17"/>
    <w:rsid w:val="004C5261"/>
    <w:rsid w:val="00504876"/>
    <w:rsid w:val="005169AF"/>
    <w:rsid w:val="00530AA6"/>
    <w:rsid w:val="00574029"/>
    <w:rsid w:val="0059621B"/>
    <w:rsid w:val="005B2E8E"/>
    <w:rsid w:val="005C3567"/>
    <w:rsid w:val="005D0DB8"/>
    <w:rsid w:val="00614550"/>
    <w:rsid w:val="00670D7E"/>
    <w:rsid w:val="00682EC8"/>
    <w:rsid w:val="00694B2F"/>
    <w:rsid w:val="006F7A93"/>
    <w:rsid w:val="00712FC0"/>
    <w:rsid w:val="00761FBE"/>
    <w:rsid w:val="007A06CE"/>
    <w:rsid w:val="007A0F4A"/>
    <w:rsid w:val="007B2694"/>
    <w:rsid w:val="007D48E0"/>
    <w:rsid w:val="008407B3"/>
    <w:rsid w:val="00867A78"/>
    <w:rsid w:val="00880EAF"/>
    <w:rsid w:val="008878DD"/>
    <w:rsid w:val="008939D6"/>
    <w:rsid w:val="00893EC8"/>
    <w:rsid w:val="008C77F9"/>
    <w:rsid w:val="008E2AD9"/>
    <w:rsid w:val="008E2D9F"/>
    <w:rsid w:val="008E75FA"/>
    <w:rsid w:val="008F6BDA"/>
    <w:rsid w:val="00901D3D"/>
    <w:rsid w:val="0091640D"/>
    <w:rsid w:val="00920CFB"/>
    <w:rsid w:val="009372DD"/>
    <w:rsid w:val="0094380F"/>
    <w:rsid w:val="0096010B"/>
    <w:rsid w:val="00981C98"/>
    <w:rsid w:val="00996E99"/>
    <w:rsid w:val="009A3FAD"/>
    <w:rsid w:val="009E36BB"/>
    <w:rsid w:val="009F1B39"/>
    <w:rsid w:val="00A16360"/>
    <w:rsid w:val="00A341FE"/>
    <w:rsid w:val="00AA6DCA"/>
    <w:rsid w:val="00AB5BC8"/>
    <w:rsid w:val="00AC7694"/>
    <w:rsid w:val="00AF4BED"/>
    <w:rsid w:val="00B32BB3"/>
    <w:rsid w:val="00B4182E"/>
    <w:rsid w:val="00B56DF7"/>
    <w:rsid w:val="00B72118"/>
    <w:rsid w:val="00BB3CC7"/>
    <w:rsid w:val="00C1389D"/>
    <w:rsid w:val="00C90092"/>
    <w:rsid w:val="00C95E29"/>
    <w:rsid w:val="00CA6F09"/>
    <w:rsid w:val="00CA7D99"/>
    <w:rsid w:val="00CE1FA6"/>
    <w:rsid w:val="00D0631E"/>
    <w:rsid w:val="00D11012"/>
    <w:rsid w:val="00D872B2"/>
    <w:rsid w:val="00D95B0E"/>
    <w:rsid w:val="00DB0C83"/>
    <w:rsid w:val="00DB2074"/>
    <w:rsid w:val="00DC068F"/>
    <w:rsid w:val="00DF1483"/>
    <w:rsid w:val="00DF2BEB"/>
    <w:rsid w:val="00E02537"/>
    <w:rsid w:val="00E16B88"/>
    <w:rsid w:val="00E3680D"/>
    <w:rsid w:val="00E659D0"/>
    <w:rsid w:val="00E74138"/>
    <w:rsid w:val="00E747C6"/>
    <w:rsid w:val="00EE49BF"/>
    <w:rsid w:val="00EE4C8F"/>
    <w:rsid w:val="00F5073C"/>
    <w:rsid w:val="00F56525"/>
    <w:rsid w:val="00F81600"/>
    <w:rsid w:val="00F82109"/>
    <w:rsid w:val="00F8747D"/>
    <w:rsid w:val="00FB3D8E"/>
    <w:rsid w:val="00FB4252"/>
    <w:rsid w:val="00FF0399"/>
    <w:rsid w:val="00F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670D7E"/>
  </w:style>
  <w:style w:type="character" w:styleId="Odwoanieprzypisukocowego">
    <w:name w:val="endnote reference"/>
    <w:rsid w:val="00670D7E"/>
    <w:rPr>
      <w:vertAlign w:val="superscript"/>
    </w:rPr>
  </w:style>
  <w:style w:type="character" w:customStyle="1" w:styleId="labelpodstawowy">
    <w:name w:val="labelpodstawowy"/>
    <w:basedOn w:val="Domylnaczcionkaakapitu"/>
    <w:rsid w:val="00670D7E"/>
  </w:style>
  <w:style w:type="paragraph" w:styleId="Tekstdymka">
    <w:name w:val="Balloon Text"/>
    <w:basedOn w:val="Normalny"/>
    <w:link w:val="TekstdymkaZnak"/>
    <w:uiPriority w:val="99"/>
    <w:semiHidden/>
    <w:unhideWhenUsed/>
    <w:rsid w:val="0033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2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C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670D7E"/>
  </w:style>
  <w:style w:type="character" w:styleId="Odwoanieprzypisukocowego">
    <w:name w:val="endnote reference"/>
    <w:rsid w:val="00670D7E"/>
    <w:rPr>
      <w:vertAlign w:val="superscript"/>
    </w:rPr>
  </w:style>
  <w:style w:type="character" w:customStyle="1" w:styleId="labelpodstawowy">
    <w:name w:val="labelpodstawowy"/>
    <w:basedOn w:val="Domylnaczcionkaakapitu"/>
    <w:rsid w:val="00670D7E"/>
  </w:style>
  <w:style w:type="paragraph" w:styleId="Tekstdymka">
    <w:name w:val="Balloon Text"/>
    <w:basedOn w:val="Normalny"/>
    <w:link w:val="TekstdymkaZnak"/>
    <w:uiPriority w:val="99"/>
    <w:semiHidden/>
    <w:unhideWhenUsed/>
    <w:rsid w:val="0033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2E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C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2044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Goetze Agnieszka</dc:creator>
  <cp:lastModifiedBy>Łasiewicz Agnieszka 2</cp:lastModifiedBy>
  <cp:revision>2</cp:revision>
  <cp:lastPrinted>2017-06-24T10:30:00Z</cp:lastPrinted>
  <dcterms:created xsi:type="dcterms:W3CDTF">2018-06-21T06:19:00Z</dcterms:created>
  <dcterms:modified xsi:type="dcterms:W3CDTF">2018-06-21T06:19:00Z</dcterms:modified>
</cp:coreProperties>
</file>