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9322" w:type="dxa"/>
        <w:tblLook w:val="04A0" w:firstRow="1" w:lastRow="0" w:firstColumn="1" w:lastColumn="0" w:noHBand="0" w:noVBand="1"/>
      </w:tblPr>
      <w:tblGrid>
        <w:gridCol w:w="9322"/>
      </w:tblGrid>
      <w:tr w:rsidR="00DC372C" w:rsidRPr="00590107" w:rsidTr="00C246A7">
        <w:tc>
          <w:tcPr>
            <w:tcW w:w="9322" w:type="dxa"/>
            <w:shd w:val="clear" w:color="auto" w:fill="9BBB59" w:themeFill="accent3"/>
          </w:tcPr>
          <w:p w:rsidR="00DC372C" w:rsidRPr="00047C3D" w:rsidRDefault="00DC372C" w:rsidP="00DC372C">
            <w:pPr>
              <w:jc w:val="center"/>
              <w:rPr>
                <w:rFonts w:ascii="Arial" w:hAnsi="Arial" w:cs="Arial"/>
                <w:sz w:val="28"/>
                <w:szCs w:val="28"/>
              </w:rPr>
            </w:pPr>
            <w:r w:rsidRPr="00047C3D">
              <w:rPr>
                <w:rFonts w:ascii="Arial" w:hAnsi="Arial" w:cs="Arial"/>
                <w:b/>
                <w:sz w:val="28"/>
                <w:szCs w:val="28"/>
              </w:rPr>
              <w:t>Unijny Kodeks Celny</w:t>
            </w:r>
          </w:p>
        </w:tc>
      </w:tr>
      <w:tr w:rsidR="00DC372C" w:rsidRPr="00590107" w:rsidTr="00BC6110">
        <w:trPr>
          <w:trHeight w:val="799"/>
        </w:trPr>
        <w:tc>
          <w:tcPr>
            <w:tcW w:w="9322" w:type="dxa"/>
            <w:vAlign w:val="center"/>
          </w:tcPr>
          <w:p w:rsidR="00987DCC" w:rsidRDefault="00590107" w:rsidP="00987DCC">
            <w:pPr>
              <w:spacing w:before="120"/>
              <w:jc w:val="both"/>
              <w:rPr>
                <w:rFonts w:ascii="Arial" w:hAnsi="Arial" w:cs="Arial"/>
                <w:b/>
              </w:rPr>
            </w:pPr>
            <w:r w:rsidRPr="00047C3D">
              <w:rPr>
                <w:rFonts w:ascii="Arial" w:hAnsi="Arial" w:cs="Arial"/>
                <w:b/>
                <w:sz w:val="20"/>
                <w:szCs w:val="20"/>
              </w:rPr>
              <w:t>Zagadnienie z zakresu</w:t>
            </w:r>
            <w:r w:rsidR="00DC372C" w:rsidRPr="00047C3D">
              <w:rPr>
                <w:rFonts w:ascii="Arial" w:hAnsi="Arial" w:cs="Arial"/>
                <w:b/>
                <w:sz w:val="20"/>
                <w:szCs w:val="20"/>
              </w:rPr>
              <w:t>:</w:t>
            </w:r>
            <w:r w:rsidR="00987DCC">
              <w:rPr>
                <w:rFonts w:ascii="Arial" w:hAnsi="Arial" w:cs="Arial"/>
                <w:b/>
                <w:sz w:val="20"/>
                <w:szCs w:val="20"/>
              </w:rPr>
              <w:t xml:space="preserve">     </w:t>
            </w:r>
            <w:r w:rsidR="00DC372C" w:rsidRPr="00590107">
              <w:rPr>
                <w:rFonts w:ascii="Arial" w:hAnsi="Arial" w:cs="Arial"/>
                <w:b/>
              </w:rPr>
              <w:t xml:space="preserve"> </w:t>
            </w:r>
            <w:r w:rsidR="00987DCC">
              <w:rPr>
                <w:rFonts w:ascii="Arial" w:hAnsi="Arial" w:cs="Arial"/>
                <w:b/>
              </w:rPr>
              <w:t xml:space="preserve">      </w:t>
            </w:r>
            <w:r w:rsidR="00987DCC" w:rsidRPr="00AD0BE8">
              <w:rPr>
                <w:rFonts w:ascii="Arial" w:hAnsi="Arial" w:cs="Arial"/>
                <w:b/>
              </w:rPr>
              <w:t xml:space="preserve">ZABEZPIECZENIA GENERALNE </w:t>
            </w:r>
          </w:p>
          <w:p w:rsidR="00987DCC" w:rsidRDefault="00987DCC" w:rsidP="00987DCC">
            <w:pPr>
              <w:spacing w:before="120"/>
              <w:jc w:val="both"/>
              <w:rPr>
                <w:rFonts w:ascii="Arial" w:hAnsi="Arial" w:cs="Arial"/>
                <w:b/>
              </w:rPr>
            </w:pPr>
            <w:r>
              <w:rPr>
                <w:rFonts w:ascii="Arial" w:hAnsi="Arial" w:cs="Arial"/>
                <w:b/>
              </w:rPr>
              <w:t xml:space="preserve">           </w:t>
            </w:r>
            <w:r w:rsidRPr="00AD0BE8">
              <w:rPr>
                <w:rFonts w:ascii="Arial" w:hAnsi="Arial" w:cs="Arial"/>
                <w:b/>
              </w:rPr>
              <w:t>– DOTYCHCZASOWE PROCEDURY CELNE</w:t>
            </w:r>
            <w:r>
              <w:rPr>
                <w:rFonts w:ascii="Arial" w:hAnsi="Arial" w:cs="Arial"/>
                <w:b/>
              </w:rPr>
              <w:t xml:space="preserve"> </w:t>
            </w:r>
            <w:r w:rsidRPr="00AD0BE8">
              <w:rPr>
                <w:rFonts w:ascii="Arial" w:hAnsi="Arial" w:cs="Arial"/>
                <w:b/>
              </w:rPr>
              <w:t xml:space="preserve">ORAZ ODPOWIADAJĄCE IM </w:t>
            </w:r>
          </w:p>
          <w:p w:rsidR="00DC372C" w:rsidRPr="00590107" w:rsidRDefault="00987DCC" w:rsidP="00987DCC">
            <w:pPr>
              <w:spacing w:before="120"/>
              <w:jc w:val="both"/>
              <w:rPr>
                <w:rFonts w:ascii="Arial" w:hAnsi="Arial" w:cs="Arial"/>
                <w:b/>
              </w:rPr>
            </w:pPr>
            <w:r>
              <w:rPr>
                <w:rFonts w:ascii="Arial" w:hAnsi="Arial" w:cs="Arial"/>
                <w:b/>
              </w:rPr>
              <w:t xml:space="preserve">                                 </w:t>
            </w:r>
            <w:r w:rsidRPr="00AD0BE8">
              <w:rPr>
                <w:rFonts w:ascii="Arial" w:hAnsi="Arial" w:cs="Arial"/>
                <w:b/>
              </w:rPr>
              <w:t>OPERACJE CELNE OKREŚLONE ZGODNIE Z UKC</w:t>
            </w:r>
          </w:p>
        </w:tc>
      </w:tr>
      <w:tr w:rsidR="00C42EE1" w:rsidRPr="00590107" w:rsidTr="00C246A7">
        <w:trPr>
          <w:trHeight w:val="2170"/>
        </w:trPr>
        <w:tc>
          <w:tcPr>
            <w:tcW w:w="9322" w:type="dxa"/>
            <w:vAlign w:val="center"/>
          </w:tcPr>
          <w:p w:rsidR="003855A6" w:rsidRPr="00047C3D" w:rsidRDefault="003855A6" w:rsidP="00047C3D">
            <w:pPr>
              <w:rPr>
                <w:rFonts w:ascii="Arial" w:eastAsia="Times New Roman" w:hAnsi="Arial" w:cs="Arial"/>
                <w:b/>
                <w:sz w:val="20"/>
                <w:szCs w:val="20"/>
                <w:lang w:eastAsia="pl-PL"/>
              </w:rPr>
            </w:pPr>
            <w:r w:rsidRPr="00047C3D">
              <w:rPr>
                <w:rFonts w:ascii="Arial" w:eastAsia="Times New Roman" w:hAnsi="Arial" w:cs="Arial"/>
                <w:b/>
                <w:sz w:val="20"/>
                <w:szCs w:val="20"/>
                <w:lang w:eastAsia="pl-PL"/>
              </w:rPr>
              <w:t>Podstawy prawne:</w:t>
            </w:r>
          </w:p>
          <w:p w:rsidR="003855A6" w:rsidRPr="00047C3D" w:rsidRDefault="003855A6" w:rsidP="003855A6">
            <w:pPr>
              <w:spacing w:before="120"/>
              <w:rPr>
                <w:rFonts w:ascii="Arial" w:eastAsia="Times New Roman" w:hAnsi="Arial" w:cs="Arial"/>
                <w:sz w:val="20"/>
                <w:szCs w:val="20"/>
                <w:lang w:eastAsia="pl-PL"/>
              </w:rPr>
            </w:pPr>
            <w:r w:rsidRPr="00047C3D">
              <w:rPr>
                <w:rFonts w:ascii="Arial" w:eastAsia="Times New Roman" w:hAnsi="Arial" w:cs="Arial"/>
                <w:sz w:val="20"/>
                <w:szCs w:val="20"/>
                <w:lang w:eastAsia="pl-PL"/>
              </w:rPr>
              <w:t xml:space="preserve">Art. </w:t>
            </w:r>
            <w:r w:rsidR="00F31255">
              <w:rPr>
                <w:rFonts w:ascii="Arial" w:eastAsia="Times New Roman" w:hAnsi="Arial" w:cs="Arial"/>
                <w:sz w:val="20"/>
                <w:szCs w:val="20"/>
                <w:lang w:eastAsia="pl-PL"/>
              </w:rPr>
              <w:t xml:space="preserve">110, 112, </w:t>
            </w:r>
            <w:r w:rsidR="00F31255">
              <w:rPr>
                <w:rFonts w:ascii="Arial" w:hAnsi="Arial" w:cs="Arial"/>
                <w:sz w:val="20"/>
                <w:szCs w:val="20"/>
              </w:rPr>
              <w:t>148, 166, 182, 195, 201, 210, 211, 250, 254, 256, 262,</w:t>
            </w:r>
            <w:r w:rsidRPr="00047C3D">
              <w:rPr>
                <w:rFonts w:ascii="Arial" w:hAnsi="Arial" w:cs="Arial"/>
                <w:sz w:val="20"/>
                <w:szCs w:val="20"/>
              </w:rPr>
              <w:t xml:space="preserve"> </w:t>
            </w:r>
            <w:hyperlink r:id="rId6" w:history="1">
              <w:r w:rsidRPr="006E4ACA">
                <w:rPr>
                  <w:rStyle w:val="Hipercze"/>
                  <w:rFonts w:ascii="Arial" w:eastAsia="Times New Roman" w:hAnsi="Arial" w:cs="Arial"/>
                  <w:sz w:val="20"/>
                  <w:szCs w:val="20"/>
                  <w:lang w:eastAsia="pl-PL"/>
                </w:rPr>
                <w:t>UKC</w:t>
              </w:r>
            </w:hyperlink>
          </w:p>
          <w:p w:rsidR="003855A6" w:rsidRDefault="003855A6" w:rsidP="003855A6">
            <w:pPr>
              <w:spacing w:before="120"/>
              <w:rPr>
                <w:rStyle w:val="Hipercze"/>
                <w:rFonts w:ascii="Arial" w:eastAsia="Times New Roman" w:hAnsi="Arial" w:cs="Arial"/>
                <w:bCs/>
                <w:sz w:val="20"/>
                <w:szCs w:val="20"/>
                <w:lang w:eastAsia="pl-PL"/>
              </w:rPr>
            </w:pPr>
            <w:r w:rsidRPr="00047C3D">
              <w:rPr>
                <w:rFonts w:ascii="Arial" w:eastAsia="Times New Roman" w:hAnsi="Arial" w:cs="Arial"/>
                <w:sz w:val="20"/>
                <w:szCs w:val="20"/>
                <w:lang w:eastAsia="pl-PL"/>
              </w:rPr>
              <w:t xml:space="preserve">Art. </w:t>
            </w:r>
            <w:r w:rsidRPr="00047C3D">
              <w:rPr>
                <w:rFonts w:ascii="Arial" w:hAnsi="Arial" w:cs="Arial"/>
                <w:sz w:val="20"/>
                <w:szCs w:val="20"/>
              </w:rPr>
              <w:t xml:space="preserve">250 </w:t>
            </w:r>
            <w:r w:rsidR="00AD0BE8">
              <w:rPr>
                <w:rFonts w:ascii="Arial" w:hAnsi="Arial" w:cs="Arial"/>
                <w:sz w:val="20"/>
                <w:szCs w:val="20"/>
              </w:rPr>
              <w:t xml:space="preserve">i 251 </w:t>
            </w:r>
            <w:hyperlink r:id="rId7" w:history="1">
              <w:r w:rsidRPr="007E4AD9">
                <w:rPr>
                  <w:rStyle w:val="Hipercze"/>
                  <w:rFonts w:ascii="Arial" w:eastAsia="Times New Roman" w:hAnsi="Arial" w:cs="Arial"/>
                  <w:bCs/>
                  <w:sz w:val="20"/>
                  <w:szCs w:val="20"/>
                  <w:lang w:eastAsia="pl-PL"/>
                </w:rPr>
                <w:t>rozporządzenia delegowanego</w:t>
              </w:r>
            </w:hyperlink>
          </w:p>
          <w:p w:rsidR="00F31255" w:rsidRPr="00F31255" w:rsidRDefault="00F31255" w:rsidP="003855A6">
            <w:pPr>
              <w:spacing w:before="120"/>
              <w:rPr>
                <w:rFonts w:ascii="Arial" w:eastAsia="Times New Roman" w:hAnsi="Arial" w:cs="Arial"/>
                <w:bCs/>
                <w:sz w:val="20"/>
                <w:szCs w:val="20"/>
                <w:lang w:eastAsia="pl-PL"/>
              </w:rPr>
            </w:pPr>
            <w:r w:rsidRPr="00F31255">
              <w:rPr>
                <w:rStyle w:val="Hipercze"/>
                <w:rFonts w:ascii="Arial" w:eastAsia="Times New Roman" w:hAnsi="Arial" w:cs="Arial"/>
                <w:bCs/>
                <w:color w:val="auto"/>
                <w:sz w:val="20"/>
                <w:szCs w:val="20"/>
                <w:u w:val="none"/>
                <w:lang w:eastAsia="pl-PL"/>
              </w:rPr>
              <w:t xml:space="preserve">Art. 244 </w:t>
            </w:r>
            <w:hyperlink r:id="rId8" w:history="1">
              <w:r w:rsidR="00B403AC" w:rsidRPr="00192397">
                <w:rPr>
                  <w:rStyle w:val="Hipercze"/>
                  <w:rFonts w:ascii="Arial" w:eastAsia="Times New Roman" w:hAnsi="Arial" w:cs="Arial"/>
                  <w:bCs/>
                  <w:sz w:val="20"/>
                  <w:szCs w:val="20"/>
                  <w:lang w:eastAsia="pl-PL"/>
                </w:rPr>
                <w:t>rozporządzenia wykonawczego</w:t>
              </w:r>
            </w:hyperlink>
          </w:p>
          <w:p w:rsidR="003855A6" w:rsidRPr="00047C3D" w:rsidRDefault="003855A6">
            <w:pPr>
              <w:spacing w:before="120"/>
              <w:rPr>
                <w:rFonts w:ascii="Arial" w:eastAsia="Times New Roman" w:hAnsi="Arial" w:cs="Arial"/>
                <w:bCs/>
                <w:sz w:val="20"/>
                <w:szCs w:val="20"/>
                <w:lang w:eastAsia="pl-PL"/>
              </w:rPr>
            </w:pPr>
            <w:r w:rsidRPr="00047C3D">
              <w:rPr>
                <w:rFonts w:ascii="Arial" w:hAnsi="Arial" w:cs="Arial"/>
                <w:sz w:val="20"/>
                <w:szCs w:val="20"/>
              </w:rPr>
              <w:t xml:space="preserve">Załącznik nr 32-03 do </w:t>
            </w:r>
            <w:hyperlink r:id="rId9" w:history="1">
              <w:r w:rsidR="00B403AC" w:rsidRPr="00192397">
                <w:rPr>
                  <w:rStyle w:val="Hipercze"/>
                  <w:rFonts w:ascii="Arial" w:eastAsia="Times New Roman" w:hAnsi="Arial" w:cs="Arial"/>
                  <w:bCs/>
                  <w:sz w:val="20"/>
                  <w:szCs w:val="20"/>
                  <w:lang w:eastAsia="pl-PL"/>
                </w:rPr>
                <w:t>rozporządzenia wykonawczego</w:t>
              </w:r>
            </w:hyperlink>
          </w:p>
          <w:p w:rsidR="00C42EE1" w:rsidRPr="00047C3D" w:rsidRDefault="00C42EE1" w:rsidP="003855A6">
            <w:pPr>
              <w:rPr>
                <w:rFonts w:ascii="Arial" w:hAnsi="Arial" w:cs="Arial"/>
                <w:b/>
                <w:sz w:val="20"/>
                <w:szCs w:val="20"/>
              </w:rPr>
            </w:pPr>
          </w:p>
        </w:tc>
      </w:tr>
      <w:tr w:rsidR="00DC372C" w:rsidRPr="00590107" w:rsidTr="00C246A7">
        <w:tc>
          <w:tcPr>
            <w:tcW w:w="9322" w:type="dxa"/>
            <w:vAlign w:val="center"/>
          </w:tcPr>
          <w:p w:rsidR="00DC372C" w:rsidRPr="00047C3D" w:rsidRDefault="00DC372C" w:rsidP="00F90E67">
            <w:pPr>
              <w:rPr>
                <w:rFonts w:ascii="Arial" w:hAnsi="Arial" w:cs="Arial"/>
                <w:b/>
                <w:sz w:val="20"/>
                <w:szCs w:val="20"/>
              </w:rPr>
            </w:pPr>
            <w:r w:rsidRPr="00047C3D">
              <w:rPr>
                <w:rFonts w:ascii="Arial" w:hAnsi="Arial" w:cs="Arial"/>
                <w:b/>
                <w:sz w:val="20"/>
                <w:szCs w:val="20"/>
              </w:rPr>
              <w:t>Opis zagadnienia</w:t>
            </w:r>
            <w:r w:rsidR="003855A6" w:rsidRPr="00047C3D">
              <w:rPr>
                <w:rFonts w:ascii="Arial" w:hAnsi="Arial" w:cs="Arial"/>
                <w:b/>
                <w:sz w:val="20"/>
                <w:szCs w:val="20"/>
              </w:rPr>
              <w:t xml:space="preserve"> i najważniejsze zmiany o</w:t>
            </w:r>
            <w:r w:rsidR="007B69FD" w:rsidRPr="00047C3D">
              <w:rPr>
                <w:rFonts w:ascii="Arial" w:hAnsi="Arial" w:cs="Arial"/>
                <w:b/>
                <w:sz w:val="20"/>
                <w:szCs w:val="20"/>
              </w:rPr>
              <w:t>d</w:t>
            </w:r>
            <w:r w:rsidR="003855A6" w:rsidRPr="00047C3D">
              <w:rPr>
                <w:rFonts w:ascii="Arial" w:hAnsi="Arial" w:cs="Arial"/>
                <w:b/>
                <w:sz w:val="20"/>
                <w:szCs w:val="20"/>
              </w:rPr>
              <w:t xml:space="preserve"> 1 maja 2016 r.</w:t>
            </w:r>
            <w:r w:rsidRPr="00047C3D">
              <w:rPr>
                <w:rFonts w:ascii="Arial" w:hAnsi="Arial" w:cs="Arial"/>
                <w:b/>
                <w:sz w:val="20"/>
                <w:szCs w:val="20"/>
              </w:rPr>
              <w:t xml:space="preserve">:   </w:t>
            </w:r>
          </w:p>
          <w:p w:rsidR="00AD0BE8" w:rsidRDefault="00AD0BE8" w:rsidP="00BD0E9E">
            <w:pPr>
              <w:spacing w:before="240"/>
              <w:jc w:val="both"/>
              <w:rPr>
                <w:rFonts w:ascii="Arial" w:hAnsi="Arial" w:cs="Arial"/>
                <w:sz w:val="20"/>
                <w:szCs w:val="20"/>
              </w:rPr>
            </w:pPr>
            <w:r w:rsidRPr="00AD0BE8">
              <w:rPr>
                <w:rFonts w:ascii="Arial" w:hAnsi="Arial" w:cs="Arial"/>
                <w:sz w:val="20"/>
                <w:szCs w:val="20"/>
              </w:rPr>
              <w:t>Zabezpieczenia generalne złożone w formie dotychczasowej gwarancji bankowej albo</w:t>
            </w:r>
            <w:r w:rsidR="00BC6110">
              <w:rPr>
                <w:rFonts w:ascii="Arial" w:hAnsi="Arial" w:cs="Arial"/>
                <w:sz w:val="20"/>
                <w:szCs w:val="20"/>
              </w:rPr>
              <w:t> </w:t>
            </w:r>
            <w:r w:rsidRPr="00AD0BE8">
              <w:rPr>
                <w:rFonts w:ascii="Arial" w:hAnsi="Arial" w:cs="Arial"/>
                <w:sz w:val="20"/>
                <w:szCs w:val="20"/>
              </w:rPr>
              <w:t>ubezpieczeniowej będzie można stosować do dnia utraty ważności przez „stare” pozwolenie dla</w:t>
            </w:r>
            <w:r w:rsidR="00BC6110">
              <w:rPr>
                <w:rFonts w:ascii="Arial" w:hAnsi="Arial" w:cs="Arial"/>
                <w:sz w:val="20"/>
                <w:szCs w:val="20"/>
              </w:rPr>
              <w:t> </w:t>
            </w:r>
            <w:r w:rsidRPr="00AD0BE8">
              <w:rPr>
                <w:rFonts w:ascii="Arial" w:hAnsi="Arial" w:cs="Arial"/>
                <w:sz w:val="20"/>
                <w:szCs w:val="20"/>
              </w:rPr>
              <w:t>zabezpieczenia długu celnego, podatków i innych opłat powstałych lub mogących powstać w</w:t>
            </w:r>
            <w:r w:rsidR="00BC6110">
              <w:rPr>
                <w:rFonts w:ascii="Arial" w:hAnsi="Arial" w:cs="Arial"/>
                <w:sz w:val="20"/>
                <w:szCs w:val="20"/>
              </w:rPr>
              <w:t> </w:t>
            </w:r>
            <w:r w:rsidRPr="00AD0BE8">
              <w:rPr>
                <w:rFonts w:ascii="Arial" w:hAnsi="Arial" w:cs="Arial"/>
                <w:sz w:val="20"/>
                <w:szCs w:val="20"/>
              </w:rPr>
              <w:t>wyniku operacji celnych dokonywanych po dniu 30 kwietnia 2016 r., pod warunkiem złożenia właściwemu organowi celnemu aneksu do gwarancji potwierdzającego objęcie gwarancją należności celnych przywozowych lub wywozowych odpowiadających długowi celnemu oraz innych należności powstałych lub mogących powstać w wyniku operacji celnych dokonywanych po tym terminie na podstawie unijnego kodeksu celnego. Powoduje to konieczność określenia w aneksie do gwarancji dotychczasowych procedur celnych objętych tą gwarancją</w:t>
            </w:r>
            <w:r w:rsidR="00194389">
              <w:rPr>
                <w:rFonts w:ascii="Arial" w:hAnsi="Arial" w:cs="Arial"/>
                <w:sz w:val="20"/>
                <w:szCs w:val="20"/>
              </w:rPr>
              <w:t xml:space="preserve"> w sposób</w:t>
            </w:r>
            <w:r w:rsidRPr="00AD0BE8">
              <w:rPr>
                <w:rFonts w:ascii="Arial" w:hAnsi="Arial" w:cs="Arial"/>
                <w:sz w:val="20"/>
                <w:szCs w:val="20"/>
              </w:rPr>
              <w:t xml:space="preserve"> zgodn</w:t>
            </w:r>
            <w:r w:rsidR="00194389">
              <w:rPr>
                <w:rFonts w:ascii="Arial" w:hAnsi="Arial" w:cs="Arial"/>
                <w:sz w:val="20"/>
                <w:szCs w:val="20"/>
              </w:rPr>
              <w:t>y</w:t>
            </w:r>
            <w:r w:rsidRPr="00AD0BE8">
              <w:rPr>
                <w:rFonts w:ascii="Arial" w:hAnsi="Arial" w:cs="Arial"/>
                <w:sz w:val="20"/>
                <w:szCs w:val="20"/>
              </w:rPr>
              <w:t xml:space="preserve"> z nowymi przepisami unijnymi.</w:t>
            </w:r>
          </w:p>
          <w:p w:rsidR="00AD0BE8" w:rsidRPr="00AD0BE8" w:rsidRDefault="00AD0BE8" w:rsidP="00AD0BE8">
            <w:pPr>
              <w:spacing w:before="240"/>
              <w:rPr>
                <w:rFonts w:ascii="Arial" w:hAnsi="Arial" w:cs="Arial"/>
                <w:b/>
                <w:sz w:val="20"/>
                <w:szCs w:val="20"/>
              </w:rPr>
            </w:pPr>
            <w:r w:rsidRPr="00AD0BE8">
              <w:rPr>
                <w:rFonts w:ascii="Arial" w:hAnsi="Arial" w:cs="Arial"/>
                <w:b/>
                <w:sz w:val="20"/>
                <w:szCs w:val="20"/>
              </w:rPr>
              <w:t>Wykaz dotychczasowych procedur celne oraz odpowiadających im operacji celnych określonych zgodnie z UKC</w:t>
            </w:r>
          </w:p>
          <w:p w:rsidR="00AD0BE8" w:rsidRPr="00AD0BE8" w:rsidRDefault="00AD0BE8" w:rsidP="00AD0BE8">
            <w:pPr>
              <w:spacing w:before="240"/>
              <w:jc w:val="both"/>
              <w:rPr>
                <w:rFonts w:ascii="Arial" w:hAnsi="Arial" w:cs="Arial"/>
                <w:sz w:val="20"/>
                <w:szCs w:val="20"/>
              </w:rPr>
            </w:pPr>
            <w:r w:rsidRPr="00AD0BE8">
              <w:rPr>
                <w:rFonts w:ascii="Arial" w:hAnsi="Arial" w:cs="Arial"/>
                <w:sz w:val="20"/>
                <w:szCs w:val="20"/>
              </w:rPr>
              <w:t>Na podstawie danych zgromadzonych w bazie Ogólnego Systemu Obsługi Zabezpieczeń OSOZ2 opracowano pomocniczy wykaz procedur celnych zamieszczonych w gwarancjach bankowych i ubezpieczeniowych złożonych do dnia 30 kwietnia 2016 r. oraz odpowiadających im operacji celnych określonych zgodnie z nowymi przepisami unijnymi, które będą objęte gwarancją</w:t>
            </w:r>
            <w:r w:rsidR="00194389">
              <w:rPr>
                <w:rFonts w:ascii="Arial" w:hAnsi="Arial" w:cs="Arial"/>
                <w:sz w:val="20"/>
                <w:szCs w:val="20"/>
              </w:rPr>
              <w:t xml:space="preserve"> po tym terminie</w:t>
            </w:r>
            <w:r w:rsidRPr="00AD0BE8">
              <w:rPr>
                <w:rFonts w:ascii="Arial" w:hAnsi="Arial" w:cs="Arial"/>
                <w:sz w:val="20"/>
                <w:szCs w:val="20"/>
              </w:rPr>
              <w:t>, jeżeli zostanie złożony określający je aneks do gwarancji. Wykaz „nowych” operacji celnych może być również pomocny w określeniu operacji celnych objętych „Zobowiązaniem gwaranta</w:t>
            </w:r>
            <w:r w:rsidR="00BC6110">
              <w:rPr>
                <w:rFonts w:ascii="Arial" w:hAnsi="Arial" w:cs="Arial"/>
                <w:sz w:val="20"/>
                <w:szCs w:val="20"/>
              </w:rPr>
              <w:t xml:space="preserve"> -</w:t>
            </w:r>
            <w:r w:rsidRPr="00AD0BE8">
              <w:rPr>
                <w:rFonts w:ascii="Arial" w:hAnsi="Arial" w:cs="Arial"/>
                <w:sz w:val="20"/>
                <w:szCs w:val="20"/>
              </w:rPr>
              <w:t xml:space="preserve"> Zabezpieczenie generalne”, którego wzór został określony w załączniku 32-03 do rozporządzenia wykonawczego.  </w:t>
            </w:r>
          </w:p>
          <w:p w:rsidR="00AD0BE8" w:rsidRDefault="00AD0BE8" w:rsidP="00AD0BE8">
            <w:pPr>
              <w:spacing w:before="240"/>
              <w:jc w:val="both"/>
              <w:rPr>
                <w:rFonts w:ascii="Arial" w:hAnsi="Arial" w:cs="Arial"/>
                <w:sz w:val="20"/>
                <w:szCs w:val="20"/>
              </w:rPr>
            </w:pPr>
            <w:r w:rsidRPr="00AD0BE8">
              <w:rPr>
                <w:rFonts w:ascii="Arial" w:hAnsi="Arial" w:cs="Arial"/>
                <w:sz w:val="20"/>
                <w:szCs w:val="20"/>
              </w:rPr>
              <w:t>W sytuacji, gdy posiadacz pozwolenia na stosowanie zabezpieczenia generalnego nie przedstawi właściwemu organowi celnemu pisemnego oświadczenia gwaranta (aneksu do gwarancji)</w:t>
            </w:r>
            <w:r w:rsidR="00194389">
              <w:rPr>
                <w:rFonts w:ascii="Arial" w:hAnsi="Arial" w:cs="Arial"/>
                <w:sz w:val="20"/>
                <w:szCs w:val="20"/>
              </w:rPr>
              <w:t>,</w:t>
            </w:r>
            <w:r w:rsidRPr="00AD0BE8">
              <w:rPr>
                <w:rFonts w:ascii="Arial" w:hAnsi="Arial" w:cs="Arial"/>
                <w:sz w:val="20"/>
                <w:szCs w:val="20"/>
              </w:rPr>
              <w:t xml:space="preserve"> bezterminowe pozwolenie na stosowanie zabezpieczenia generalnego udzielone przed 1 maja 2016 r. zachowa ważność do dnia dokonania jego ponownej oceny albo do dnia 1 maja 2019 r. Po </w:t>
            </w:r>
            <w:r w:rsidR="00194389">
              <w:rPr>
                <w:rFonts w:ascii="Arial" w:hAnsi="Arial" w:cs="Arial"/>
                <w:sz w:val="20"/>
                <w:szCs w:val="20"/>
              </w:rPr>
              <w:t xml:space="preserve">dniu </w:t>
            </w:r>
            <w:r w:rsidRPr="00AD0BE8">
              <w:rPr>
                <w:rFonts w:ascii="Arial" w:hAnsi="Arial" w:cs="Arial"/>
                <w:sz w:val="20"/>
                <w:szCs w:val="20"/>
              </w:rPr>
              <w:t>1</w:t>
            </w:r>
            <w:r w:rsidR="00194389">
              <w:rPr>
                <w:rFonts w:ascii="Arial" w:hAnsi="Arial" w:cs="Arial"/>
                <w:sz w:val="20"/>
                <w:szCs w:val="20"/>
              </w:rPr>
              <w:t> </w:t>
            </w:r>
            <w:r w:rsidRPr="00AD0BE8">
              <w:rPr>
                <w:rFonts w:ascii="Arial" w:hAnsi="Arial" w:cs="Arial"/>
                <w:sz w:val="20"/>
                <w:szCs w:val="20"/>
              </w:rPr>
              <w:t>maja 2016 r. nie będzie można dokonywać żadnych operacji</w:t>
            </w:r>
            <w:r w:rsidR="00194389" w:rsidRPr="00AD0BE8">
              <w:rPr>
                <w:rFonts w:ascii="Arial" w:hAnsi="Arial" w:cs="Arial"/>
                <w:sz w:val="20"/>
                <w:szCs w:val="20"/>
              </w:rPr>
              <w:t xml:space="preserve"> na podstawie tego pozwolenia</w:t>
            </w:r>
            <w:r w:rsidRPr="00AD0BE8">
              <w:rPr>
                <w:rFonts w:ascii="Arial" w:hAnsi="Arial" w:cs="Arial"/>
                <w:sz w:val="20"/>
                <w:szCs w:val="20"/>
              </w:rPr>
              <w:t>, dopóki nie</w:t>
            </w:r>
            <w:r w:rsidR="00BC6110">
              <w:rPr>
                <w:rFonts w:ascii="Arial" w:hAnsi="Arial" w:cs="Arial"/>
                <w:sz w:val="20"/>
                <w:szCs w:val="20"/>
              </w:rPr>
              <w:t> </w:t>
            </w:r>
            <w:r w:rsidRPr="00AD0BE8">
              <w:rPr>
                <w:rFonts w:ascii="Arial" w:hAnsi="Arial" w:cs="Arial"/>
                <w:sz w:val="20"/>
                <w:szCs w:val="20"/>
              </w:rPr>
              <w:t>zostanie złożony aneks do gwarancji bankowej albo ubezpieczeniowej, w której operacje celne/procedury celne objęte gwarancją będą określone zgodnie z przepisami UKC.</w:t>
            </w:r>
          </w:p>
          <w:p w:rsidR="007A5C3E" w:rsidRPr="00047C3D" w:rsidRDefault="0041209A" w:rsidP="00B45140">
            <w:pPr>
              <w:spacing w:before="120"/>
              <w:jc w:val="both"/>
              <w:rPr>
                <w:rFonts w:ascii="Arial" w:hAnsi="Arial" w:cs="Arial"/>
                <w:b/>
                <w:sz w:val="20"/>
                <w:szCs w:val="20"/>
              </w:rPr>
            </w:pPr>
            <w:r>
              <w:rPr>
                <w:rFonts w:ascii="Arial" w:hAnsi="Arial" w:cs="Arial"/>
                <w:color w:val="C00000"/>
                <w:sz w:val="20"/>
                <w:szCs w:val="20"/>
              </w:rPr>
              <w:t xml:space="preserve"> </w:t>
            </w:r>
          </w:p>
        </w:tc>
      </w:tr>
      <w:tr w:rsidR="00DC372C" w:rsidRPr="00590107" w:rsidTr="006E4952">
        <w:trPr>
          <w:trHeight w:val="1216"/>
        </w:trPr>
        <w:tc>
          <w:tcPr>
            <w:tcW w:w="9322" w:type="dxa"/>
            <w:vAlign w:val="center"/>
          </w:tcPr>
          <w:p w:rsidR="00BA4274" w:rsidRDefault="00432651" w:rsidP="00432651">
            <w:pPr>
              <w:rPr>
                <w:rFonts w:ascii="Arial" w:hAnsi="Arial" w:cs="Arial"/>
                <w:b/>
                <w:sz w:val="20"/>
                <w:szCs w:val="20"/>
              </w:rPr>
            </w:pPr>
            <w:r w:rsidRPr="00417C1E">
              <w:rPr>
                <w:rFonts w:ascii="Arial" w:hAnsi="Arial" w:cs="Arial"/>
                <w:b/>
                <w:sz w:val="20"/>
                <w:szCs w:val="20"/>
              </w:rPr>
              <w:t xml:space="preserve">Dodatkowe informacje: </w:t>
            </w:r>
          </w:p>
          <w:p w:rsidR="002255FD" w:rsidRPr="00590107" w:rsidRDefault="00D62A62" w:rsidP="00225FFB">
            <w:pPr>
              <w:rPr>
                <w:rFonts w:ascii="Arial" w:hAnsi="Arial" w:cs="Arial"/>
                <w:b/>
              </w:rPr>
            </w:pPr>
            <w:r>
              <w:rPr>
                <w:rFonts w:ascii="Arial" w:hAnsi="Arial" w:cs="Arial"/>
                <w:color w:val="00B050"/>
                <w:sz w:val="20"/>
                <w:szCs w:val="20"/>
              </w:rPr>
              <w:t xml:space="preserve">    </w:t>
            </w:r>
            <w:r w:rsidR="00225FFB">
              <w:object w:dxaOrig="1517" w:dyaOrig="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8.55pt" o:ole="">
                  <v:imagedata r:id="rId10" o:title=""/>
                </v:shape>
                <o:OLEObject Type="Embed" ProgID="AcroExch.Document.DC" ShapeID="_x0000_i1025" DrawAspect="Icon" ObjectID="_1523351577" r:id="rId11"/>
              </w:object>
            </w:r>
          </w:p>
        </w:tc>
      </w:tr>
      <w:tr w:rsidR="00DC372C" w:rsidRPr="00590107" w:rsidTr="00C246A7">
        <w:trPr>
          <w:trHeight w:val="320"/>
        </w:trPr>
        <w:tc>
          <w:tcPr>
            <w:tcW w:w="9322" w:type="dxa"/>
            <w:vAlign w:val="center"/>
          </w:tcPr>
          <w:p w:rsidR="00DC372C" w:rsidRPr="00047C3D" w:rsidRDefault="00432651" w:rsidP="00AD0BE8">
            <w:pPr>
              <w:rPr>
                <w:rFonts w:ascii="Arial" w:hAnsi="Arial" w:cs="Arial"/>
                <w:b/>
                <w:sz w:val="20"/>
                <w:szCs w:val="20"/>
              </w:rPr>
            </w:pPr>
            <w:r w:rsidRPr="00047C3D">
              <w:rPr>
                <w:rFonts w:ascii="Arial" w:hAnsi="Arial" w:cs="Arial"/>
                <w:b/>
                <w:sz w:val="20"/>
                <w:szCs w:val="20"/>
              </w:rPr>
              <w:t xml:space="preserve">Data ostatniej aktualizacji: </w:t>
            </w:r>
            <w:r w:rsidR="00AD0BE8" w:rsidRPr="00AD0BE8">
              <w:rPr>
                <w:rFonts w:ascii="Arial" w:hAnsi="Arial" w:cs="Arial"/>
                <w:sz w:val="20"/>
                <w:szCs w:val="20"/>
              </w:rPr>
              <w:t>15</w:t>
            </w:r>
            <w:r w:rsidR="009D7A48">
              <w:rPr>
                <w:rFonts w:ascii="Arial" w:hAnsi="Arial" w:cs="Arial"/>
                <w:sz w:val="20"/>
                <w:szCs w:val="20"/>
              </w:rPr>
              <w:t xml:space="preserve"> kwietnia</w:t>
            </w:r>
            <w:r w:rsidR="002B4F9D">
              <w:rPr>
                <w:rFonts w:ascii="Arial" w:hAnsi="Arial" w:cs="Arial"/>
                <w:sz w:val="20"/>
                <w:szCs w:val="20"/>
              </w:rPr>
              <w:t xml:space="preserve"> </w:t>
            </w:r>
            <w:r w:rsidR="005D7F31" w:rsidRPr="00047C3D">
              <w:rPr>
                <w:rFonts w:ascii="Arial" w:hAnsi="Arial" w:cs="Arial"/>
                <w:sz w:val="20"/>
                <w:szCs w:val="20"/>
              </w:rPr>
              <w:t>2016 r.</w:t>
            </w:r>
          </w:p>
        </w:tc>
      </w:tr>
    </w:tbl>
    <w:p w:rsidR="00B61619" w:rsidRDefault="00B61619">
      <w:bookmarkStart w:id="0" w:name="_GoBack"/>
      <w:bookmarkEnd w:id="0"/>
    </w:p>
    <w:sectPr w:rsidR="00B61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2C"/>
    <w:rsid w:val="0002065F"/>
    <w:rsid w:val="00047C3D"/>
    <w:rsid w:val="0005537E"/>
    <w:rsid w:val="000A6B24"/>
    <w:rsid w:val="000C33DB"/>
    <w:rsid w:val="000C7731"/>
    <w:rsid w:val="000F75B5"/>
    <w:rsid w:val="00100569"/>
    <w:rsid w:val="00133DB8"/>
    <w:rsid w:val="00152AF2"/>
    <w:rsid w:val="001823F6"/>
    <w:rsid w:val="00183FBD"/>
    <w:rsid w:val="00192397"/>
    <w:rsid w:val="00194389"/>
    <w:rsid w:val="001D1F1E"/>
    <w:rsid w:val="001E5F57"/>
    <w:rsid w:val="002255FD"/>
    <w:rsid w:val="00225FFB"/>
    <w:rsid w:val="002A61E0"/>
    <w:rsid w:val="002B4F9D"/>
    <w:rsid w:val="00383126"/>
    <w:rsid w:val="003855A6"/>
    <w:rsid w:val="003A0B5D"/>
    <w:rsid w:val="003A595F"/>
    <w:rsid w:val="003C5481"/>
    <w:rsid w:val="003D3D33"/>
    <w:rsid w:val="0041209A"/>
    <w:rsid w:val="00417C1E"/>
    <w:rsid w:val="00432651"/>
    <w:rsid w:val="00473500"/>
    <w:rsid w:val="00493F2E"/>
    <w:rsid w:val="004A5C57"/>
    <w:rsid w:val="005066A4"/>
    <w:rsid w:val="00512E0D"/>
    <w:rsid w:val="00517A9B"/>
    <w:rsid w:val="00556DFB"/>
    <w:rsid w:val="00590107"/>
    <w:rsid w:val="005B5948"/>
    <w:rsid w:val="005C3B12"/>
    <w:rsid w:val="005D7F31"/>
    <w:rsid w:val="005E02AB"/>
    <w:rsid w:val="005F339F"/>
    <w:rsid w:val="00630D7F"/>
    <w:rsid w:val="00667C6B"/>
    <w:rsid w:val="006976EF"/>
    <w:rsid w:val="006B1E51"/>
    <w:rsid w:val="006D49F5"/>
    <w:rsid w:val="006D6D95"/>
    <w:rsid w:val="006E2280"/>
    <w:rsid w:val="006E4952"/>
    <w:rsid w:val="006E4ACA"/>
    <w:rsid w:val="007145D5"/>
    <w:rsid w:val="007340F2"/>
    <w:rsid w:val="00735940"/>
    <w:rsid w:val="00752340"/>
    <w:rsid w:val="00773124"/>
    <w:rsid w:val="007A5C3E"/>
    <w:rsid w:val="007B69FD"/>
    <w:rsid w:val="007B6CD4"/>
    <w:rsid w:val="007E4AD9"/>
    <w:rsid w:val="007E74A7"/>
    <w:rsid w:val="0080005C"/>
    <w:rsid w:val="00814012"/>
    <w:rsid w:val="00814BF1"/>
    <w:rsid w:val="00814ED1"/>
    <w:rsid w:val="00815315"/>
    <w:rsid w:val="00840ECA"/>
    <w:rsid w:val="008951BD"/>
    <w:rsid w:val="008B51EB"/>
    <w:rsid w:val="00941D69"/>
    <w:rsid w:val="009571E2"/>
    <w:rsid w:val="009613DC"/>
    <w:rsid w:val="00983988"/>
    <w:rsid w:val="009856E1"/>
    <w:rsid w:val="00987B1F"/>
    <w:rsid w:val="00987DCC"/>
    <w:rsid w:val="009A1618"/>
    <w:rsid w:val="009A7759"/>
    <w:rsid w:val="009B581C"/>
    <w:rsid w:val="009D7A48"/>
    <w:rsid w:val="00A72C69"/>
    <w:rsid w:val="00AD0BE8"/>
    <w:rsid w:val="00AE33AD"/>
    <w:rsid w:val="00AF3681"/>
    <w:rsid w:val="00B042C6"/>
    <w:rsid w:val="00B15AF5"/>
    <w:rsid w:val="00B403AC"/>
    <w:rsid w:val="00B41861"/>
    <w:rsid w:val="00B45140"/>
    <w:rsid w:val="00B61619"/>
    <w:rsid w:val="00B62B2D"/>
    <w:rsid w:val="00B71241"/>
    <w:rsid w:val="00B85297"/>
    <w:rsid w:val="00B9766D"/>
    <w:rsid w:val="00BA4274"/>
    <w:rsid w:val="00BC6110"/>
    <w:rsid w:val="00BD0E9E"/>
    <w:rsid w:val="00BE54D7"/>
    <w:rsid w:val="00BE5A94"/>
    <w:rsid w:val="00BF6F60"/>
    <w:rsid w:val="00C2383A"/>
    <w:rsid w:val="00C246A7"/>
    <w:rsid w:val="00C42EE1"/>
    <w:rsid w:val="00C67EA2"/>
    <w:rsid w:val="00C8206E"/>
    <w:rsid w:val="00C9419A"/>
    <w:rsid w:val="00D3141A"/>
    <w:rsid w:val="00D62A62"/>
    <w:rsid w:val="00D85B78"/>
    <w:rsid w:val="00DA0EEF"/>
    <w:rsid w:val="00DB1A36"/>
    <w:rsid w:val="00DC3336"/>
    <w:rsid w:val="00DC372C"/>
    <w:rsid w:val="00DC5D17"/>
    <w:rsid w:val="00E13B49"/>
    <w:rsid w:val="00E45486"/>
    <w:rsid w:val="00E54963"/>
    <w:rsid w:val="00E8214C"/>
    <w:rsid w:val="00EB46E1"/>
    <w:rsid w:val="00EE0474"/>
    <w:rsid w:val="00EF652F"/>
    <w:rsid w:val="00F214AA"/>
    <w:rsid w:val="00F31255"/>
    <w:rsid w:val="00F36686"/>
    <w:rsid w:val="00F65194"/>
    <w:rsid w:val="00F659F4"/>
    <w:rsid w:val="00F825B1"/>
    <w:rsid w:val="00FD3834"/>
    <w:rsid w:val="00FD6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C3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DC372C"/>
    <w:rPr>
      <w:vertAlign w:val="superscript"/>
    </w:rPr>
  </w:style>
  <w:style w:type="paragraph" w:styleId="Tekstdymka">
    <w:name w:val="Balloon Text"/>
    <w:basedOn w:val="Normalny"/>
    <w:link w:val="TekstdymkaZnak"/>
    <w:uiPriority w:val="99"/>
    <w:semiHidden/>
    <w:unhideWhenUsed/>
    <w:rsid w:val="00C820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06E"/>
    <w:rPr>
      <w:rFonts w:ascii="Tahoma" w:hAnsi="Tahoma" w:cs="Tahoma"/>
      <w:sz w:val="16"/>
      <w:szCs w:val="16"/>
    </w:rPr>
  </w:style>
  <w:style w:type="character" w:styleId="Hipercze">
    <w:name w:val="Hyperlink"/>
    <w:basedOn w:val="Domylnaczcionkaakapitu"/>
    <w:uiPriority w:val="99"/>
    <w:unhideWhenUsed/>
    <w:rsid w:val="006E4A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C3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DC372C"/>
    <w:rPr>
      <w:vertAlign w:val="superscript"/>
    </w:rPr>
  </w:style>
  <w:style w:type="paragraph" w:styleId="Tekstdymka">
    <w:name w:val="Balloon Text"/>
    <w:basedOn w:val="Normalny"/>
    <w:link w:val="TekstdymkaZnak"/>
    <w:uiPriority w:val="99"/>
    <w:semiHidden/>
    <w:unhideWhenUsed/>
    <w:rsid w:val="00C820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06E"/>
    <w:rPr>
      <w:rFonts w:ascii="Tahoma" w:hAnsi="Tahoma" w:cs="Tahoma"/>
      <w:sz w:val="16"/>
      <w:szCs w:val="16"/>
    </w:rPr>
  </w:style>
  <w:style w:type="character" w:styleId="Hipercze">
    <w:name w:val="Hyperlink"/>
    <w:basedOn w:val="Domylnaczcionkaakapitu"/>
    <w:uiPriority w:val="99"/>
    <w:unhideWhenUsed/>
    <w:rsid w:val="006E4A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55771">
      <w:bodyDiv w:val="1"/>
      <w:marLeft w:val="0"/>
      <w:marRight w:val="0"/>
      <w:marTop w:val="0"/>
      <w:marBottom w:val="0"/>
      <w:divBdr>
        <w:top w:val="none" w:sz="0" w:space="0" w:color="auto"/>
        <w:left w:val="none" w:sz="0" w:space="0" w:color="auto"/>
        <w:bottom w:val="none" w:sz="0" w:space="0" w:color="auto"/>
        <w:right w:val="none" w:sz="0" w:space="0" w:color="auto"/>
      </w:divBdr>
    </w:div>
    <w:div w:id="5109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uriserv:OJ.L_.2015.343.01.0558.01.POL&amp;toc=OJ:L:2015:343:T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ur-lex.europa.eu/legal-content/PL/TXT/?uri=uriserv:OJ.L_.2015.343.01.0001.01.POL&amp;toc=OJ:L:2015:343:T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ur-lex.europa.eu/legal-content/PL/TXT/?qid=1445946939880&amp;uri=CELEX:32013R0952" TargetMode="Externa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eur-lex.europa.eu/legal-content/PL/TXT/?uri=uriserv:OJ.L_.2015.343.01.0558.01.POL&amp;toc=OJ:L:2015:343:T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965F-1E2E-44AC-ADFB-59E24021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473</Words>
  <Characters>2838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Filipowicz-Mercer Kinga</dc:creator>
  <cp:lastModifiedBy>Filipowicz-Mercer Kinga</cp:lastModifiedBy>
  <cp:revision>4</cp:revision>
  <dcterms:created xsi:type="dcterms:W3CDTF">2016-04-15T09:14:00Z</dcterms:created>
  <dcterms:modified xsi:type="dcterms:W3CDTF">2016-04-28T10:26:00Z</dcterms:modified>
</cp:coreProperties>
</file>